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82DB5" w:rsidRDefault="001F367F" w:rsidP="00194AA6">
      <w:pPr>
        <w:jc w:val="center"/>
      </w:pPr>
      <w:r>
        <w:rPr>
          <w:noProof/>
          <w:sz w:val="22"/>
          <w:szCs w:val="22"/>
        </w:rPr>
        <w:drawing>
          <wp:inline distT="0" distB="0" distL="0" distR="0">
            <wp:extent cx="1830531" cy="1197946"/>
            <wp:effectExtent l="1905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1834462" cy="1200519"/>
                    </a:xfrm>
                    <a:prstGeom prst="rect">
                      <a:avLst/>
                    </a:prstGeom>
                    <a:noFill/>
                    <a:ln w="9525">
                      <a:noFill/>
                      <a:miter lim="800000"/>
                      <a:headEnd/>
                      <a:tailEnd/>
                    </a:ln>
                  </pic:spPr>
                </pic:pic>
              </a:graphicData>
            </a:graphic>
          </wp:inline>
        </w:drawing>
      </w:r>
    </w:p>
    <w:p w:rsidR="00282DB5" w:rsidRDefault="00282DB5" w:rsidP="00194AA6">
      <w:pPr>
        <w:jc w:val="center"/>
      </w:pPr>
    </w:p>
    <w:p w:rsidR="00F80A29" w:rsidRDefault="00F80A29" w:rsidP="00194AA6">
      <w:pPr>
        <w:jc w:val="center"/>
      </w:pPr>
    </w:p>
    <w:p w:rsidR="001771DC" w:rsidRPr="00194AA6" w:rsidRDefault="001771DC" w:rsidP="00194AA6">
      <w:pPr>
        <w:jc w:val="center"/>
        <w:rPr>
          <w:sz w:val="22"/>
          <w:szCs w:val="22"/>
        </w:rPr>
      </w:pPr>
    </w:p>
    <w:p w:rsidR="001F367F" w:rsidRPr="00194AA6" w:rsidRDefault="001F367F" w:rsidP="001F367F">
      <w:pPr>
        <w:pStyle w:val="Heading3"/>
        <w:rPr>
          <w:b/>
          <w:sz w:val="22"/>
          <w:szCs w:val="22"/>
        </w:rPr>
      </w:pPr>
      <w:r w:rsidRPr="00194AA6">
        <w:rPr>
          <w:b/>
          <w:sz w:val="22"/>
          <w:szCs w:val="22"/>
        </w:rPr>
        <w:t>TECHNICAL EVALUATION</w:t>
      </w:r>
    </w:p>
    <w:p w:rsidR="001F367F" w:rsidRPr="00194AA6" w:rsidRDefault="001F367F" w:rsidP="001F367F">
      <w:pPr>
        <w:jc w:val="center"/>
        <w:rPr>
          <w:b/>
          <w:sz w:val="22"/>
          <w:szCs w:val="22"/>
        </w:rPr>
      </w:pPr>
      <w:r w:rsidRPr="00194AA6">
        <w:rPr>
          <w:b/>
          <w:sz w:val="22"/>
          <w:szCs w:val="22"/>
        </w:rPr>
        <w:t>&amp;</w:t>
      </w:r>
    </w:p>
    <w:p w:rsidR="001F367F" w:rsidRPr="00194AA6" w:rsidRDefault="001F367F" w:rsidP="001F367F">
      <w:pPr>
        <w:jc w:val="center"/>
        <w:rPr>
          <w:b/>
          <w:sz w:val="22"/>
          <w:szCs w:val="22"/>
        </w:rPr>
      </w:pPr>
      <w:r w:rsidRPr="00194AA6">
        <w:rPr>
          <w:b/>
          <w:sz w:val="22"/>
          <w:szCs w:val="22"/>
        </w:rPr>
        <w:t>PRELIMINARY DETERMINATION</w:t>
      </w:r>
    </w:p>
    <w:p w:rsidR="001F367F" w:rsidRPr="00194AA6" w:rsidRDefault="001F367F" w:rsidP="001F367F">
      <w:pPr>
        <w:jc w:val="center"/>
        <w:rPr>
          <w:sz w:val="22"/>
          <w:szCs w:val="22"/>
        </w:rPr>
      </w:pPr>
    </w:p>
    <w:p w:rsidR="00193F10" w:rsidRPr="00194AA6" w:rsidRDefault="00193F10" w:rsidP="001F367F">
      <w:pPr>
        <w:jc w:val="center"/>
        <w:rPr>
          <w:sz w:val="22"/>
          <w:szCs w:val="22"/>
        </w:rPr>
      </w:pPr>
    </w:p>
    <w:p w:rsidR="00193F10" w:rsidRPr="00194AA6" w:rsidRDefault="00193F10" w:rsidP="00194AA6">
      <w:pPr>
        <w:jc w:val="center"/>
        <w:rPr>
          <w:sz w:val="22"/>
          <w:szCs w:val="22"/>
        </w:rPr>
      </w:pPr>
    </w:p>
    <w:p w:rsidR="00194AA6" w:rsidRPr="00FB0EBC" w:rsidRDefault="00194AA6" w:rsidP="00194AA6">
      <w:pPr>
        <w:pStyle w:val="Heading4"/>
        <w:spacing w:after="120"/>
        <w:rPr>
          <w:bCs/>
          <w:szCs w:val="22"/>
        </w:rPr>
      </w:pPr>
      <w:r w:rsidRPr="00FB0EBC">
        <w:rPr>
          <w:bCs/>
          <w:szCs w:val="22"/>
        </w:rPr>
        <w:t>APP</w:t>
      </w:r>
      <w:r w:rsidRPr="00FB0EBC">
        <w:t>LI</w:t>
      </w:r>
      <w:r w:rsidRPr="00FB0EBC">
        <w:rPr>
          <w:bCs/>
          <w:szCs w:val="22"/>
        </w:rPr>
        <w:t>CANT</w:t>
      </w:r>
    </w:p>
    <w:p w:rsidR="00194AA6" w:rsidRPr="00CF2974" w:rsidRDefault="001F367F" w:rsidP="00194AA6">
      <w:pPr>
        <w:widowControl w:val="0"/>
        <w:jc w:val="center"/>
        <w:rPr>
          <w:sz w:val="22"/>
          <w:szCs w:val="22"/>
          <w:highlight w:val="green"/>
        </w:rPr>
      </w:pPr>
      <w:r w:rsidRPr="007A6484">
        <w:rPr>
          <w:sz w:val="22"/>
          <w:szCs w:val="22"/>
        </w:rPr>
        <w:t>Hillsborough Co</w:t>
      </w:r>
      <w:r w:rsidRPr="006C71B7">
        <w:rPr>
          <w:sz w:val="22"/>
          <w:szCs w:val="22"/>
        </w:rPr>
        <w:t>unty</w:t>
      </w:r>
      <w:r w:rsidRPr="00CC4247">
        <w:rPr>
          <w:sz w:val="22"/>
        </w:rPr>
        <w:t xml:space="preserve"> </w:t>
      </w:r>
      <w:r w:rsidR="00E94BEC">
        <w:rPr>
          <w:color w:val="000000"/>
          <w:sz w:val="22"/>
          <w:szCs w:val="22"/>
        </w:rPr>
        <w:t xml:space="preserve">Public Utilities </w:t>
      </w:r>
      <w:r w:rsidR="00E94BEC" w:rsidRPr="006C71B7">
        <w:rPr>
          <w:sz w:val="22"/>
          <w:szCs w:val="22"/>
        </w:rPr>
        <w:t>Department</w:t>
      </w:r>
    </w:p>
    <w:p w:rsidR="008257EF" w:rsidRPr="00CF2974" w:rsidRDefault="008257EF" w:rsidP="00194AA6">
      <w:pPr>
        <w:widowControl w:val="0"/>
        <w:jc w:val="center"/>
        <w:rPr>
          <w:sz w:val="22"/>
          <w:szCs w:val="22"/>
          <w:highlight w:val="green"/>
        </w:rPr>
      </w:pPr>
    </w:p>
    <w:p w:rsidR="008C280D" w:rsidRPr="00A7403A" w:rsidRDefault="001F367F" w:rsidP="00194AA6">
      <w:pPr>
        <w:widowControl w:val="0"/>
        <w:jc w:val="center"/>
        <w:rPr>
          <w:sz w:val="22"/>
          <w:szCs w:val="22"/>
          <w:highlight w:val="green"/>
        </w:rPr>
      </w:pPr>
      <w:r w:rsidRPr="006C71B7">
        <w:rPr>
          <w:sz w:val="22"/>
          <w:szCs w:val="22"/>
        </w:rPr>
        <w:t>925 Twiggs Street</w:t>
      </w:r>
    </w:p>
    <w:p w:rsidR="00194AA6" w:rsidRPr="00A7403A" w:rsidRDefault="001F367F" w:rsidP="00194AA6">
      <w:pPr>
        <w:widowControl w:val="0"/>
        <w:jc w:val="center"/>
        <w:rPr>
          <w:sz w:val="22"/>
          <w:szCs w:val="22"/>
          <w:highlight w:val="green"/>
        </w:rPr>
      </w:pPr>
      <w:r w:rsidRPr="006C71B7">
        <w:rPr>
          <w:sz w:val="22"/>
          <w:szCs w:val="22"/>
        </w:rPr>
        <w:t>Tampa, Florida  33602</w:t>
      </w:r>
    </w:p>
    <w:p w:rsidR="00194AA6" w:rsidRPr="00CF2974" w:rsidRDefault="00194AA6" w:rsidP="00194AA6">
      <w:pPr>
        <w:widowControl w:val="0"/>
        <w:jc w:val="center"/>
        <w:rPr>
          <w:sz w:val="22"/>
          <w:szCs w:val="22"/>
          <w:highlight w:val="green"/>
        </w:rPr>
      </w:pPr>
    </w:p>
    <w:p w:rsidR="00A7403A" w:rsidRPr="004673ED" w:rsidRDefault="001F367F" w:rsidP="00A7403A">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center"/>
        <w:rPr>
          <w:sz w:val="22"/>
        </w:rPr>
      </w:pPr>
      <w:r w:rsidRPr="00653F80">
        <w:rPr>
          <w:sz w:val="22"/>
          <w:szCs w:val="22"/>
        </w:rPr>
        <w:t>Hillsborough County Resource Recovery Facility</w:t>
      </w:r>
    </w:p>
    <w:p w:rsidR="00194AA6" w:rsidRPr="008257EF" w:rsidRDefault="00194AA6" w:rsidP="00194AA6">
      <w:pPr>
        <w:widowControl w:val="0"/>
        <w:jc w:val="center"/>
        <w:rPr>
          <w:sz w:val="22"/>
          <w:szCs w:val="22"/>
        </w:rPr>
      </w:pPr>
      <w:r w:rsidRPr="001C50A0">
        <w:rPr>
          <w:sz w:val="22"/>
          <w:szCs w:val="22"/>
        </w:rPr>
        <w:t xml:space="preserve">Facility ID No. </w:t>
      </w:r>
      <w:r w:rsidR="001F367F" w:rsidRPr="00653F80">
        <w:rPr>
          <w:sz w:val="22"/>
          <w:szCs w:val="22"/>
        </w:rPr>
        <w:t>0570261</w:t>
      </w:r>
    </w:p>
    <w:p w:rsidR="00194AA6" w:rsidRPr="008257EF" w:rsidRDefault="00194AA6" w:rsidP="00194AA6">
      <w:pPr>
        <w:jc w:val="center"/>
        <w:rPr>
          <w:sz w:val="22"/>
          <w:szCs w:val="22"/>
        </w:rPr>
      </w:pPr>
    </w:p>
    <w:p w:rsidR="00194AA6" w:rsidRPr="008257EF" w:rsidRDefault="00194AA6" w:rsidP="00194AA6">
      <w:pPr>
        <w:jc w:val="center"/>
        <w:rPr>
          <w:sz w:val="22"/>
        </w:rPr>
      </w:pPr>
    </w:p>
    <w:p w:rsidR="00194AA6" w:rsidRPr="008257EF" w:rsidRDefault="00194AA6" w:rsidP="00194AA6">
      <w:pPr>
        <w:jc w:val="center"/>
        <w:rPr>
          <w:sz w:val="22"/>
        </w:rPr>
      </w:pPr>
    </w:p>
    <w:p w:rsidR="00193F10" w:rsidRPr="008257EF" w:rsidRDefault="00193F10" w:rsidP="00194AA6">
      <w:pPr>
        <w:pStyle w:val="Heading4"/>
        <w:spacing w:after="120"/>
        <w:rPr>
          <w:bCs/>
        </w:rPr>
      </w:pPr>
      <w:r w:rsidRPr="008257EF">
        <w:rPr>
          <w:bCs/>
        </w:rPr>
        <w:t>PROJECT</w:t>
      </w:r>
    </w:p>
    <w:p w:rsidR="00193F10" w:rsidRPr="008257EF" w:rsidRDefault="001F367F" w:rsidP="00194AA6">
      <w:pPr>
        <w:pStyle w:val="Heading1"/>
        <w:spacing w:after="0"/>
        <w:ind w:left="0"/>
        <w:jc w:val="center"/>
        <w:rPr>
          <w:sz w:val="22"/>
        </w:rPr>
      </w:pPr>
      <w:r w:rsidRPr="005B2669">
        <w:rPr>
          <w:sz w:val="22"/>
          <w:szCs w:val="22"/>
        </w:rPr>
        <w:t xml:space="preserve">Draft Permit No. </w:t>
      </w:r>
      <w:r w:rsidRPr="00653F80">
        <w:rPr>
          <w:sz w:val="22"/>
          <w:szCs w:val="22"/>
        </w:rPr>
        <w:t>0570261-01</w:t>
      </w:r>
      <w:r>
        <w:rPr>
          <w:sz w:val="22"/>
          <w:szCs w:val="22"/>
        </w:rPr>
        <w:t>6</w:t>
      </w:r>
      <w:r w:rsidRPr="00924469">
        <w:rPr>
          <w:sz w:val="22"/>
          <w:szCs w:val="22"/>
        </w:rPr>
        <w:t>-AC</w:t>
      </w:r>
      <w:r w:rsidR="006C4E4C">
        <w:rPr>
          <w:sz w:val="22"/>
          <w:szCs w:val="22"/>
        </w:rPr>
        <w:t xml:space="preserve"> </w:t>
      </w:r>
      <w:r w:rsidRPr="00924469">
        <w:rPr>
          <w:sz w:val="22"/>
          <w:szCs w:val="22"/>
        </w:rPr>
        <w:t>/</w:t>
      </w:r>
      <w:r w:rsidR="006C4E4C">
        <w:rPr>
          <w:sz w:val="22"/>
          <w:szCs w:val="22"/>
        </w:rPr>
        <w:t xml:space="preserve"> </w:t>
      </w:r>
      <w:r>
        <w:rPr>
          <w:sz w:val="22"/>
          <w:szCs w:val="22"/>
        </w:rPr>
        <w:t>PSD-FL-121E</w:t>
      </w:r>
      <w:r w:rsidR="006C4E4C" w:rsidRPr="006C4E4C">
        <w:rPr>
          <w:sz w:val="22"/>
          <w:szCs w:val="22"/>
        </w:rPr>
        <w:t xml:space="preserve"> </w:t>
      </w:r>
      <w:r w:rsidR="006C4E4C">
        <w:rPr>
          <w:sz w:val="22"/>
          <w:szCs w:val="22"/>
        </w:rPr>
        <w:t xml:space="preserve">and </w:t>
      </w:r>
      <w:r w:rsidR="006C4E4C" w:rsidRPr="00924469">
        <w:rPr>
          <w:sz w:val="22"/>
          <w:szCs w:val="22"/>
        </w:rPr>
        <w:t>PSD-FL-3</w:t>
      </w:r>
      <w:r w:rsidR="006C4E4C">
        <w:rPr>
          <w:sz w:val="22"/>
          <w:szCs w:val="22"/>
        </w:rPr>
        <w:t>69D</w:t>
      </w:r>
    </w:p>
    <w:p w:rsidR="00194AA6" w:rsidRDefault="00194AA6" w:rsidP="00194AA6">
      <w:pPr>
        <w:jc w:val="center"/>
        <w:rPr>
          <w:sz w:val="22"/>
        </w:rPr>
      </w:pPr>
      <w:r w:rsidRPr="008257EF">
        <w:rPr>
          <w:sz w:val="22"/>
        </w:rPr>
        <w:t xml:space="preserve">Application for </w:t>
      </w:r>
      <w:r w:rsidR="008603FF" w:rsidRPr="008257EF">
        <w:rPr>
          <w:sz w:val="22"/>
        </w:rPr>
        <w:t xml:space="preserve">Minor Source </w:t>
      </w:r>
      <w:r w:rsidRPr="008257EF">
        <w:rPr>
          <w:sz w:val="22"/>
        </w:rPr>
        <w:t>Air Construction</w:t>
      </w:r>
      <w:r>
        <w:rPr>
          <w:sz w:val="22"/>
        </w:rPr>
        <w:t xml:space="preserve"> Permit</w:t>
      </w:r>
      <w:r w:rsidR="00512308">
        <w:rPr>
          <w:sz w:val="22"/>
        </w:rPr>
        <w:t xml:space="preserve"> Modification</w:t>
      </w:r>
    </w:p>
    <w:p w:rsidR="00193F10" w:rsidRDefault="00193F10" w:rsidP="00194AA6">
      <w:pPr>
        <w:jc w:val="center"/>
        <w:rPr>
          <w:sz w:val="22"/>
        </w:rPr>
      </w:pPr>
    </w:p>
    <w:p w:rsidR="00193F10" w:rsidRDefault="00193F10" w:rsidP="00194AA6">
      <w:pPr>
        <w:jc w:val="center"/>
        <w:rPr>
          <w:sz w:val="22"/>
        </w:rPr>
      </w:pPr>
    </w:p>
    <w:p w:rsidR="00193F10" w:rsidRDefault="00193F10" w:rsidP="00194AA6">
      <w:pPr>
        <w:pStyle w:val="Heading4"/>
        <w:spacing w:after="120"/>
        <w:rPr>
          <w:bCs/>
        </w:rPr>
      </w:pPr>
      <w:r>
        <w:rPr>
          <w:bCs/>
        </w:rPr>
        <w:t>COUNTY</w:t>
      </w:r>
    </w:p>
    <w:p w:rsidR="00193F10" w:rsidRPr="001D487F" w:rsidRDefault="001F367F" w:rsidP="00194AA6">
      <w:pPr>
        <w:jc w:val="center"/>
        <w:rPr>
          <w:sz w:val="22"/>
        </w:rPr>
      </w:pPr>
      <w:r w:rsidRPr="00653F80">
        <w:rPr>
          <w:sz w:val="22"/>
          <w:szCs w:val="22"/>
        </w:rPr>
        <w:t>Hillsborough County</w:t>
      </w:r>
      <w:r w:rsidR="001D487F">
        <w:rPr>
          <w:sz w:val="22"/>
        </w:rPr>
        <w:t>, Florida</w:t>
      </w:r>
    </w:p>
    <w:p w:rsidR="00193F10" w:rsidRDefault="00193F10" w:rsidP="00194AA6">
      <w:pPr>
        <w:jc w:val="center"/>
        <w:rPr>
          <w:sz w:val="22"/>
          <w:u w:val="single"/>
        </w:rPr>
      </w:pPr>
    </w:p>
    <w:p w:rsidR="00193F10" w:rsidRDefault="00193F10" w:rsidP="00194AA6">
      <w:pPr>
        <w:jc w:val="center"/>
        <w:rPr>
          <w:sz w:val="22"/>
        </w:rPr>
      </w:pPr>
    </w:p>
    <w:p w:rsidR="00193F10" w:rsidRDefault="001F367F" w:rsidP="00194AA6">
      <w:pPr>
        <w:pStyle w:val="Heading8"/>
        <w:jc w:val="center"/>
      </w:pPr>
      <w:r>
        <w:t>PERMITTING AUTHORITY</w:t>
      </w:r>
    </w:p>
    <w:p w:rsidR="001F367F" w:rsidRPr="00746205" w:rsidRDefault="001F367F" w:rsidP="001F367F">
      <w:pPr>
        <w:widowControl w:val="0"/>
        <w:jc w:val="center"/>
        <w:rPr>
          <w:sz w:val="22"/>
          <w:szCs w:val="22"/>
        </w:rPr>
      </w:pPr>
      <w:r w:rsidRPr="00746205">
        <w:rPr>
          <w:sz w:val="22"/>
          <w:szCs w:val="22"/>
        </w:rPr>
        <w:t>Florida Department of Environmental Protection</w:t>
      </w:r>
    </w:p>
    <w:p w:rsidR="001F367F" w:rsidRPr="00746205" w:rsidRDefault="001F367F" w:rsidP="001F367F">
      <w:pPr>
        <w:widowControl w:val="0"/>
        <w:jc w:val="center"/>
        <w:rPr>
          <w:sz w:val="22"/>
          <w:szCs w:val="22"/>
        </w:rPr>
      </w:pPr>
      <w:r w:rsidRPr="00746205">
        <w:rPr>
          <w:sz w:val="22"/>
          <w:szCs w:val="22"/>
        </w:rPr>
        <w:t>Division of Air Resource Management</w:t>
      </w:r>
    </w:p>
    <w:p w:rsidR="001F367F" w:rsidRPr="00746205" w:rsidRDefault="001F367F" w:rsidP="001F367F">
      <w:pPr>
        <w:widowControl w:val="0"/>
        <w:jc w:val="center"/>
        <w:rPr>
          <w:sz w:val="22"/>
          <w:szCs w:val="22"/>
        </w:rPr>
      </w:pPr>
      <w:r w:rsidRPr="009A20AF">
        <w:rPr>
          <w:sz w:val="22"/>
          <w:szCs w:val="22"/>
        </w:rPr>
        <w:t>Office of Permitting and Compliance</w:t>
      </w:r>
    </w:p>
    <w:p w:rsidR="001F367F" w:rsidRDefault="001F367F" w:rsidP="001F367F">
      <w:pPr>
        <w:widowControl w:val="0"/>
        <w:jc w:val="center"/>
        <w:rPr>
          <w:sz w:val="22"/>
          <w:szCs w:val="22"/>
        </w:rPr>
      </w:pPr>
      <w:r>
        <w:rPr>
          <w:sz w:val="22"/>
          <w:szCs w:val="22"/>
        </w:rPr>
        <w:t>2600 Blair Stone Road, MS#</w:t>
      </w:r>
      <w:r w:rsidR="00C07FA8">
        <w:rPr>
          <w:sz w:val="22"/>
          <w:szCs w:val="22"/>
        </w:rPr>
        <w:t xml:space="preserve"> </w:t>
      </w:r>
      <w:r>
        <w:rPr>
          <w:sz w:val="22"/>
          <w:szCs w:val="22"/>
        </w:rPr>
        <w:t>5505</w:t>
      </w:r>
    </w:p>
    <w:p w:rsidR="001F367F" w:rsidRDefault="001F367F" w:rsidP="001F367F">
      <w:pPr>
        <w:widowControl w:val="0"/>
        <w:jc w:val="center"/>
        <w:rPr>
          <w:sz w:val="22"/>
          <w:szCs w:val="22"/>
        </w:rPr>
      </w:pPr>
      <w:smartTag w:uri="urn:schemas-microsoft-com:office:smarttags" w:element="place">
        <w:r>
          <w:rPr>
            <w:sz w:val="22"/>
            <w:szCs w:val="22"/>
          </w:rPr>
          <w:t>Tallahassee</w:t>
        </w:r>
      </w:smartTag>
      <w:r>
        <w:rPr>
          <w:sz w:val="22"/>
          <w:szCs w:val="22"/>
        </w:rPr>
        <w:t xml:space="preserve">, </w:t>
      </w:r>
      <w:smartTag w:uri="urn:schemas-microsoft-com:office:smarttags" w:element="PostalCode">
        <w:r>
          <w:rPr>
            <w:sz w:val="22"/>
            <w:szCs w:val="22"/>
          </w:rPr>
          <w:t>Florida</w:t>
        </w:r>
      </w:smartTag>
      <w:r>
        <w:rPr>
          <w:sz w:val="22"/>
          <w:szCs w:val="22"/>
        </w:rPr>
        <w:t xml:space="preserve">  32399-2400</w:t>
      </w:r>
    </w:p>
    <w:p w:rsidR="001F367F" w:rsidRDefault="001F367F" w:rsidP="001F367F">
      <w:pPr>
        <w:widowControl w:val="0"/>
        <w:jc w:val="center"/>
        <w:rPr>
          <w:sz w:val="22"/>
          <w:szCs w:val="22"/>
        </w:rPr>
      </w:pPr>
    </w:p>
    <w:p w:rsidR="001F367F" w:rsidRPr="00B210BF" w:rsidRDefault="001F367F" w:rsidP="001F367F">
      <w:pPr>
        <w:widowControl w:val="0"/>
        <w:jc w:val="center"/>
        <w:rPr>
          <w:sz w:val="22"/>
          <w:szCs w:val="22"/>
        </w:rPr>
      </w:pPr>
      <w:r w:rsidRPr="00B210BF">
        <w:rPr>
          <w:sz w:val="22"/>
          <w:szCs w:val="22"/>
        </w:rPr>
        <w:t>Telephone:  (850) 717-9000</w:t>
      </w:r>
    </w:p>
    <w:p w:rsidR="00194AA6" w:rsidRDefault="001F367F" w:rsidP="001F367F">
      <w:pPr>
        <w:widowControl w:val="0"/>
        <w:jc w:val="center"/>
        <w:rPr>
          <w:sz w:val="22"/>
          <w:szCs w:val="22"/>
        </w:rPr>
      </w:pPr>
      <w:r w:rsidRPr="00B210BF">
        <w:rPr>
          <w:sz w:val="22"/>
          <w:szCs w:val="22"/>
        </w:rPr>
        <w:t>Fax:  (850) 717-9001</w:t>
      </w:r>
    </w:p>
    <w:p w:rsidR="00193F10" w:rsidRDefault="00193F10" w:rsidP="00194AA6">
      <w:pPr>
        <w:jc w:val="center"/>
        <w:rPr>
          <w:sz w:val="22"/>
        </w:rPr>
      </w:pPr>
    </w:p>
    <w:p w:rsidR="00193F10" w:rsidRDefault="00193F10" w:rsidP="00194AA6">
      <w:pPr>
        <w:jc w:val="center"/>
        <w:rPr>
          <w:sz w:val="22"/>
        </w:rPr>
      </w:pPr>
    </w:p>
    <w:p w:rsidR="00193F10" w:rsidRPr="00F80A29" w:rsidRDefault="00E01D29" w:rsidP="00F80A29">
      <w:pPr>
        <w:jc w:val="center"/>
        <w:rPr>
          <w:sz w:val="22"/>
          <w:szCs w:val="22"/>
        </w:rPr>
      </w:pPr>
      <w:r w:rsidRPr="007436D4">
        <w:rPr>
          <w:sz w:val="22"/>
          <w:szCs w:val="22"/>
        </w:rPr>
        <w:t xml:space="preserve">November </w:t>
      </w:r>
      <w:r w:rsidR="007436D4" w:rsidRPr="007436D4">
        <w:rPr>
          <w:sz w:val="22"/>
          <w:szCs w:val="22"/>
        </w:rPr>
        <w:t>20</w:t>
      </w:r>
      <w:r w:rsidR="008F3264" w:rsidRPr="007436D4">
        <w:rPr>
          <w:sz w:val="22"/>
          <w:szCs w:val="22"/>
        </w:rPr>
        <w:t>, 2012</w:t>
      </w:r>
    </w:p>
    <w:p w:rsidR="00193F10" w:rsidRDefault="00193F10" w:rsidP="001F367F">
      <w:pPr>
        <w:rPr>
          <w:sz w:val="22"/>
        </w:rPr>
        <w:sectPr w:rsidR="00193F10" w:rsidSect="00A03156">
          <w:pgSz w:w="12240" w:h="15840" w:code="1"/>
          <w:pgMar w:top="1350" w:right="1080" w:bottom="720" w:left="1080" w:header="720" w:footer="720" w:gutter="0"/>
          <w:pgNumType w:start="1"/>
          <w:cols w:space="720"/>
        </w:sectPr>
      </w:pPr>
    </w:p>
    <w:p w:rsidR="003C7122" w:rsidRPr="003C7122" w:rsidRDefault="003C7122" w:rsidP="00D623D7">
      <w:pPr>
        <w:pStyle w:val="Heading9"/>
        <w:numPr>
          <w:ilvl w:val="0"/>
          <w:numId w:val="2"/>
        </w:numPr>
        <w:ind w:left="360"/>
        <w:rPr>
          <w:b/>
          <w:bCs/>
          <w:szCs w:val="22"/>
          <w:u w:val="none"/>
        </w:rPr>
      </w:pPr>
      <w:r w:rsidRPr="003C7122">
        <w:rPr>
          <w:b/>
          <w:caps/>
          <w:szCs w:val="22"/>
          <w:u w:val="none"/>
        </w:rPr>
        <w:lastRenderedPageBreak/>
        <w:t>General Project INFORMATION</w:t>
      </w:r>
    </w:p>
    <w:p w:rsidR="003C7122" w:rsidRPr="00CD2C4E" w:rsidRDefault="003C7122" w:rsidP="00D623D7">
      <w:pPr>
        <w:widowControl w:val="0"/>
        <w:numPr>
          <w:ilvl w:val="1"/>
          <w:numId w:val="8"/>
        </w:numPr>
        <w:tabs>
          <w:tab w:val="left" w:pos="450"/>
        </w:tabs>
        <w:spacing w:after="120"/>
        <w:ind w:left="446" w:hanging="446"/>
        <w:rPr>
          <w:b/>
          <w:bCs/>
          <w:sz w:val="22"/>
          <w:szCs w:val="22"/>
        </w:rPr>
      </w:pPr>
      <w:r w:rsidRPr="00CD2C4E">
        <w:rPr>
          <w:b/>
          <w:bCs/>
          <w:sz w:val="22"/>
          <w:szCs w:val="22"/>
        </w:rPr>
        <w:t>Facility Description and Location</w:t>
      </w:r>
    </w:p>
    <w:p w:rsidR="003C7122" w:rsidRPr="00C65B66" w:rsidRDefault="003C7122" w:rsidP="00C0413C">
      <w:pPr>
        <w:spacing w:after="120"/>
        <w:ind w:right="-180"/>
        <w:rPr>
          <w:sz w:val="22"/>
          <w:szCs w:val="22"/>
          <w:highlight w:val="green"/>
        </w:rPr>
      </w:pPr>
      <w:r w:rsidRPr="00AF1871">
        <w:rPr>
          <w:sz w:val="22"/>
          <w:szCs w:val="22"/>
        </w:rPr>
        <w:t>This existing facility consists of:  four mu</w:t>
      </w:r>
      <w:r w:rsidR="00E94BEC">
        <w:rPr>
          <w:sz w:val="22"/>
          <w:szCs w:val="22"/>
        </w:rPr>
        <w:t>nicipal solid waste combustors Unit Nos. 1, 2, 3 and 4</w:t>
      </w:r>
      <w:r w:rsidRPr="00AF1871">
        <w:rPr>
          <w:sz w:val="22"/>
          <w:szCs w:val="22"/>
        </w:rPr>
        <w:t xml:space="preserve"> with auxiliary burners; </w:t>
      </w:r>
      <w:r w:rsidRPr="00962838">
        <w:rPr>
          <w:sz w:val="22"/>
          <w:szCs w:val="22"/>
        </w:rPr>
        <w:t>lime storage and processing facilities; ash storage and processing facilities; cooling towers; and, ancillary support equipment.</w:t>
      </w:r>
      <w:r>
        <w:rPr>
          <w:sz w:val="22"/>
          <w:szCs w:val="22"/>
        </w:rPr>
        <w:t xml:space="preserve">  </w:t>
      </w:r>
      <w:r w:rsidRPr="00962838">
        <w:rPr>
          <w:sz w:val="22"/>
          <w:szCs w:val="22"/>
        </w:rPr>
        <w:t xml:space="preserve">The </w:t>
      </w:r>
      <w:r w:rsidR="006B0889">
        <w:rPr>
          <w:sz w:val="22"/>
          <w:szCs w:val="22"/>
        </w:rPr>
        <w:t xml:space="preserve">nominal </w:t>
      </w:r>
      <w:r w:rsidRPr="00962838">
        <w:rPr>
          <w:sz w:val="22"/>
          <w:szCs w:val="22"/>
        </w:rPr>
        <w:t xml:space="preserve">capacity of the </w:t>
      </w:r>
      <w:r w:rsidRPr="000C78F2">
        <w:rPr>
          <w:sz w:val="22"/>
          <w:szCs w:val="22"/>
        </w:rPr>
        <w:t>Hillsborough County Resource Recovery Facility</w:t>
      </w:r>
      <w:r w:rsidR="00550C29" w:rsidRPr="000C78F2">
        <w:rPr>
          <w:sz w:val="22"/>
          <w:szCs w:val="22"/>
        </w:rPr>
        <w:t xml:space="preserve"> (RRF)</w:t>
      </w:r>
      <w:r w:rsidRPr="00962838">
        <w:rPr>
          <w:sz w:val="22"/>
          <w:szCs w:val="22"/>
        </w:rPr>
        <w:t xml:space="preserve"> is </w:t>
      </w:r>
      <w:r w:rsidR="009445E1">
        <w:rPr>
          <w:sz w:val="22"/>
          <w:szCs w:val="22"/>
        </w:rPr>
        <w:br/>
      </w:r>
      <w:r w:rsidRPr="00962838">
        <w:rPr>
          <w:sz w:val="22"/>
          <w:szCs w:val="22"/>
        </w:rPr>
        <w:t xml:space="preserve">1,800 tons/day of municipal solid waste </w:t>
      </w:r>
      <w:r w:rsidR="00FA13D9">
        <w:rPr>
          <w:sz w:val="22"/>
          <w:szCs w:val="22"/>
        </w:rPr>
        <w:t xml:space="preserve">(MSW) </w:t>
      </w:r>
      <w:r w:rsidRPr="00962838">
        <w:rPr>
          <w:sz w:val="22"/>
          <w:szCs w:val="22"/>
        </w:rPr>
        <w:t>fue</w:t>
      </w:r>
      <w:r w:rsidRPr="00AB2601">
        <w:rPr>
          <w:sz w:val="22"/>
          <w:szCs w:val="22"/>
        </w:rPr>
        <w:t>l.</w:t>
      </w:r>
      <w:r w:rsidRPr="00914A90">
        <w:rPr>
          <w:sz w:val="22"/>
          <w:szCs w:val="22"/>
        </w:rPr>
        <w:t xml:space="preserve">  The gross nominal electric generating capacity of the facility is 47 megawatts (MW).</w:t>
      </w:r>
      <w:r>
        <w:rPr>
          <w:sz w:val="22"/>
          <w:szCs w:val="22"/>
        </w:rPr>
        <w:t xml:space="preserve">  </w:t>
      </w:r>
      <w:r w:rsidRPr="009D6D12">
        <w:rPr>
          <w:sz w:val="22"/>
          <w:szCs w:val="22"/>
        </w:rPr>
        <w:t xml:space="preserve">The facility is owned by </w:t>
      </w:r>
      <w:r>
        <w:rPr>
          <w:sz w:val="22"/>
          <w:szCs w:val="22"/>
        </w:rPr>
        <w:t>Hillsborough</w:t>
      </w:r>
      <w:r w:rsidRPr="009D6D12">
        <w:rPr>
          <w:sz w:val="22"/>
          <w:szCs w:val="22"/>
        </w:rPr>
        <w:t xml:space="preserve"> County and is currently operated by Covanta </w:t>
      </w:r>
      <w:r>
        <w:rPr>
          <w:sz w:val="22"/>
          <w:szCs w:val="22"/>
        </w:rPr>
        <w:t>Hillsborough</w:t>
      </w:r>
      <w:r w:rsidRPr="009D6D12">
        <w:rPr>
          <w:sz w:val="22"/>
          <w:szCs w:val="22"/>
        </w:rPr>
        <w:t>, Inc.</w:t>
      </w:r>
      <w:r>
        <w:rPr>
          <w:sz w:val="22"/>
          <w:szCs w:val="22"/>
        </w:rPr>
        <w:t xml:space="preserve"> </w:t>
      </w:r>
      <w:r w:rsidRPr="00680E66">
        <w:rPr>
          <w:sz w:val="22"/>
          <w:szCs w:val="22"/>
        </w:rPr>
        <w:t>a subsidiary of Covanta Energy Corporation</w:t>
      </w:r>
      <w:r>
        <w:rPr>
          <w:sz w:val="22"/>
          <w:szCs w:val="22"/>
        </w:rPr>
        <w:t>.</w:t>
      </w:r>
    </w:p>
    <w:p w:rsidR="003C7122" w:rsidRDefault="003C7122" w:rsidP="003C7122">
      <w:pPr>
        <w:pStyle w:val="BodyText3"/>
        <w:numPr>
          <w:ilvl w:val="12"/>
          <w:numId w:val="0"/>
        </w:numPr>
        <w:spacing w:before="0"/>
        <w:rPr>
          <w:szCs w:val="22"/>
        </w:rPr>
      </w:pPr>
      <w:r w:rsidRPr="005B2669">
        <w:rPr>
          <w:szCs w:val="22"/>
        </w:rPr>
        <w:t>Also located at the facility are miscellaneous unregulated/insignificant emissions units and/or activities.</w:t>
      </w:r>
    </w:p>
    <w:p w:rsidR="003C7122" w:rsidRDefault="003C7122" w:rsidP="003C7122">
      <w:pPr>
        <w:pStyle w:val="BodyText3"/>
        <w:numPr>
          <w:ilvl w:val="12"/>
          <w:numId w:val="0"/>
        </w:numPr>
        <w:spacing w:before="0"/>
      </w:pPr>
      <w:r w:rsidRPr="00E51DCA">
        <w:rPr>
          <w:szCs w:val="22"/>
        </w:rPr>
        <w:t>Th</w:t>
      </w:r>
      <w:r>
        <w:rPr>
          <w:szCs w:val="22"/>
        </w:rPr>
        <w:t>is</w:t>
      </w:r>
      <w:r w:rsidRPr="00E51DCA">
        <w:rPr>
          <w:szCs w:val="22"/>
        </w:rPr>
        <w:t xml:space="preserve"> existing plant is a mass-burn municipal waste combustor (MWC) plant categorized under Standard Industrial Classification No. 4953.  This existing plant is located in Hillsborough County at </w:t>
      </w:r>
      <w:r w:rsidRPr="00507D74">
        <w:rPr>
          <w:szCs w:val="22"/>
        </w:rPr>
        <w:t>350 North Falkenburg Road</w:t>
      </w:r>
      <w:r w:rsidRPr="00E51DCA">
        <w:rPr>
          <w:szCs w:val="22"/>
        </w:rPr>
        <w:t xml:space="preserve"> in Tampa, Florida</w:t>
      </w:r>
      <w:r>
        <w:rPr>
          <w:szCs w:val="22"/>
        </w:rPr>
        <w:t xml:space="preserve"> 33619</w:t>
      </w:r>
      <w:r w:rsidRPr="00E51DCA">
        <w:rPr>
          <w:szCs w:val="22"/>
        </w:rPr>
        <w:t xml:space="preserve">.  </w:t>
      </w:r>
      <w:r w:rsidRPr="00F17E4F">
        <w:rPr>
          <w:szCs w:val="22"/>
        </w:rPr>
        <w:t xml:space="preserve">The </w:t>
      </w:r>
      <w:r>
        <w:rPr>
          <w:szCs w:val="22"/>
        </w:rPr>
        <w:t>UTM Coordinates are:  Zone 17, 2</w:t>
      </w:r>
      <w:r w:rsidRPr="00F17E4F">
        <w:rPr>
          <w:szCs w:val="22"/>
        </w:rPr>
        <w:t>68.2 km East and 3092.7 km North; Latitude:  27</w:t>
      </w:r>
      <w:r w:rsidRPr="00F17E4F">
        <w:rPr>
          <w:szCs w:val="22"/>
        </w:rPr>
        <w:sym w:font="Symbol" w:char="F0B0"/>
      </w:r>
      <w:r w:rsidRPr="00F17E4F">
        <w:rPr>
          <w:szCs w:val="22"/>
        </w:rPr>
        <w:t xml:space="preserve"> 57’ 14” North and Longitude:  82</w:t>
      </w:r>
      <w:r w:rsidRPr="00F17E4F">
        <w:rPr>
          <w:szCs w:val="22"/>
        </w:rPr>
        <w:sym w:font="Symbol" w:char="F0B0"/>
      </w:r>
      <w:r>
        <w:rPr>
          <w:szCs w:val="22"/>
        </w:rPr>
        <w:t xml:space="preserve"> 2</w:t>
      </w:r>
      <w:r w:rsidRPr="00F17E4F">
        <w:rPr>
          <w:szCs w:val="22"/>
        </w:rPr>
        <w:t>0’ 22” West.</w:t>
      </w:r>
      <w:r w:rsidR="00DC766F">
        <w:rPr>
          <w:szCs w:val="22"/>
        </w:rPr>
        <w:t xml:space="preserve">  </w:t>
      </w:r>
      <w:r w:rsidRPr="00D222D5">
        <w:t>This</w:t>
      </w:r>
      <w:r w:rsidRPr="008257EF">
        <w:t xml:space="preserve"> site is in an area that is in attainment (or designated as unclassifiable) for all air pollutants subject to state and federal Ambient Air Quality Standards (AAQS).</w:t>
      </w:r>
    </w:p>
    <w:p w:rsidR="0050581D" w:rsidRDefault="00A8125A" w:rsidP="0050581D">
      <w:pPr>
        <w:pStyle w:val="BodyText3"/>
        <w:numPr>
          <w:ilvl w:val="12"/>
          <w:numId w:val="0"/>
        </w:numPr>
        <w:ind w:right="-187"/>
        <w:rPr>
          <w:color w:val="000000"/>
          <w:szCs w:val="22"/>
        </w:rPr>
      </w:pPr>
      <w:r>
        <w:rPr>
          <w:color w:val="000000"/>
          <w:szCs w:val="22"/>
        </w:rPr>
        <w:t xml:space="preserve">The </w:t>
      </w:r>
      <w:r w:rsidRPr="00962838">
        <w:rPr>
          <w:szCs w:val="22"/>
        </w:rPr>
        <w:t>Hillsborough C</w:t>
      </w:r>
      <w:r>
        <w:rPr>
          <w:szCs w:val="22"/>
        </w:rPr>
        <w:t>ounty</w:t>
      </w:r>
      <w:r>
        <w:rPr>
          <w:color w:val="000000"/>
          <w:szCs w:val="22"/>
        </w:rPr>
        <w:t xml:space="preserve"> RRF </w:t>
      </w:r>
      <w:r w:rsidR="00BE023B">
        <w:rPr>
          <w:color w:val="000000"/>
          <w:szCs w:val="22"/>
        </w:rPr>
        <w:t xml:space="preserve">(HCRRF) </w:t>
      </w:r>
      <w:r>
        <w:rPr>
          <w:color w:val="000000"/>
          <w:szCs w:val="22"/>
        </w:rPr>
        <w:t xml:space="preserve">shown on the left-hand </w:t>
      </w:r>
      <w:r w:rsidRPr="00A03F83">
        <w:rPr>
          <w:color w:val="000000"/>
          <w:szCs w:val="22"/>
        </w:rPr>
        <w:t xml:space="preserve">side of </w:t>
      </w:r>
      <w:r w:rsidR="00A03F83" w:rsidRPr="00A03F83">
        <w:rPr>
          <w:color w:val="000000"/>
          <w:szCs w:val="22"/>
        </w:rPr>
        <w:t>Figure 1</w:t>
      </w:r>
      <w:r w:rsidRPr="00A03F83">
        <w:rPr>
          <w:color w:val="000000"/>
          <w:szCs w:val="22"/>
        </w:rPr>
        <w:t xml:space="preserve"> is very</w:t>
      </w:r>
      <w:r>
        <w:rPr>
          <w:color w:val="000000"/>
          <w:szCs w:val="22"/>
        </w:rPr>
        <w:t xml:space="preserve"> similar to the standard, mass-burn Covanta/Martin GmbH arrangement on the rig</w:t>
      </w:r>
      <w:r w:rsidR="00412DFF">
        <w:rPr>
          <w:color w:val="000000"/>
          <w:szCs w:val="22"/>
        </w:rPr>
        <w:t>ht</w:t>
      </w:r>
      <w:r w:rsidR="0050581D">
        <w:rPr>
          <w:color w:val="000000"/>
          <w:szCs w:val="22"/>
        </w:rPr>
        <w:t>.</w:t>
      </w:r>
      <w:r w:rsidR="00936FAC">
        <w:rPr>
          <w:color w:val="000000"/>
          <w:szCs w:val="22"/>
        </w:rPr>
        <w:t xml:space="preserve">  </w:t>
      </w:r>
      <w:r w:rsidR="00BE023B">
        <w:rPr>
          <w:szCs w:val="22"/>
        </w:rPr>
        <w:t>The adjacent Hillsborough County Falkenburg Advanced Wastewater Treatment Plant (WWT</w:t>
      </w:r>
      <w:r w:rsidR="00790D0A">
        <w:rPr>
          <w:szCs w:val="22"/>
        </w:rPr>
        <w:t>P</w:t>
      </w:r>
      <w:r w:rsidR="00BE023B">
        <w:rPr>
          <w:szCs w:val="22"/>
        </w:rPr>
        <w:t xml:space="preserve">) is visible in the photograph and is immediately </w:t>
      </w:r>
      <w:r w:rsidR="001B1305">
        <w:rPr>
          <w:szCs w:val="22"/>
        </w:rPr>
        <w:t>South</w:t>
      </w:r>
      <w:r w:rsidR="00BE023B">
        <w:rPr>
          <w:szCs w:val="22"/>
        </w:rPr>
        <w:t xml:space="preserve"> of the HCRRF.</w:t>
      </w:r>
    </w:p>
    <w:p w:rsidR="00A8125A" w:rsidRPr="00A8125A" w:rsidRDefault="00CB6032" w:rsidP="00F80A29">
      <w:pPr>
        <w:pStyle w:val="BodyText3"/>
        <w:numPr>
          <w:ilvl w:val="12"/>
          <w:numId w:val="0"/>
        </w:numPr>
        <w:spacing w:after="0"/>
        <w:rPr>
          <w:color w:val="000000"/>
          <w:szCs w:val="22"/>
        </w:rPr>
      </w:pPr>
      <w:r>
        <w:rPr>
          <w:noProof/>
          <w:color w:val="000000"/>
          <w:szCs w:val="22"/>
        </w:rPr>
        <w:pict>
          <v:group id="_x0000_s1090" style="position:absolute;margin-left:27.5pt;margin-top:1.05pt;width:206.8pt;height:125.3pt;z-index:251715072" coordorigin="1558,6403" coordsize="4136,2506">
            <v:shapetype id="_x0000_t202" coordsize="21600,21600" o:spt="202" path="m,l,21600r21600,l21600,xe">
              <v:stroke joinstyle="miter"/>
              <v:path gradientshapeok="t" o:connecttype="rect"/>
            </v:shapetype>
            <v:shape id="_x0000_s1087" type="#_x0000_t202" style="position:absolute;left:3496;top:8489;width:1223;height:420;mso-height-percent:200;mso-height-percent:200;mso-width-relative:margin;mso-height-relative:margin" filled="f" stroked="f">
              <v:textbox style="mso-next-textbox:#_x0000_s1087;mso-fit-shape-to-text:t">
                <w:txbxContent>
                  <w:p w:rsidR="00373374" w:rsidRPr="007E5CC1" w:rsidRDefault="00373374">
                    <w:pPr>
                      <w:rPr>
                        <w:rFonts w:ascii="Arial" w:hAnsi="Arial" w:cs="Arial"/>
                        <w:b/>
                        <w:color w:val="FFC000"/>
                        <w:sz w:val="24"/>
                        <w:szCs w:val="24"/>
                      </w:rPr>
                    </w:pPr>
                    <w:r w:rsidRPr="007E5CC1">
                      <w:rPr>
                        <w:rFonts w:ascii="Arial" w:hAnsi="Arial" w:cs="Arial"/>
                        <w:b/>
                        <w:color w:val="FFC000"/>
                        <w:sz w:val="24"/>
                        <w:szCs w:val="24"/>
                      </w:rPr>
                      <w:t>HCRRF</w:t>
                    </w:r>
                  </w:p>
                </w:txbxContent>
              </v:textbox>
            </v:shape>
            <v:shape id="_x0000_s1088" type="#_x0000_t202" style="position:absolute;left:4460;top:7243;width:1234;height:374;mso-height-percent:200;mso-height-percent:200;mso-width-relative:margin;mso-height-relative:margin" filled="f" stroked="f">
              <v:textbox style="mso-next-textbox:#_x0000_s1088;mso-fit-shape-to-text:t">
                <w:txbxContent>
                  <w:p w:rsidR="00373374" w:rsidRPr="007E5CC1" w:rsidRDefault="00373374" w:rsidP="00BE023B">
                    <w:pPr>
                      <w:rPr>
                        <w:rFonts w:ascii="Arial" w:hAnsi="Arial" w:cs="Arial"/>
                        <w:b/>
                        <w:color w:val="FFC000"/>
                      </w:rPr>
                    </w:pPr>
                    <w:r w:rsidRPr="007E5CC1">
                      <w:rPr>
                        <w:rFonts w:ascii="Arial" w:hAnsi="Arial" w:cs="Arial"/>
                        <w:b/>
                        <w:color w:val="FFC000"/>
                      </w:rPr>
                      <w:t>WW</w:t>
                    </w:r>
                    <w:r>
                      <w:rPr>
                        <w:rFonts w:ascii="Arial" w:hAnsi="Arial" w:cs="Arial"/>
                        <w:b/>
                        <w:color w:val="FFC000"/>
                      </w:rPr>
                      <w:t>T</w:t>
                    </w:r>
                    <w:r w:rsidRPr="007E5CC1">
                      <w:rPr>
                        <w:rFonts w:ascii="Arial" w:hAnsi="Arial" w:cs="Arial"/>
                        <w:b/>
                        <w:color w:val="FFC000"/>
                      </w:rPr>
                      <w:t>P</w:t>
                    </w:r>
                  </w:p>
                </w:txbxContent>
              </v:textbox>
            </v:shape>
            <v:shapetype id="_x0000_t32" coordsize="21600,21600" o:spt="32" o:oned="t" path="m,l21600,21600e" filled="f">
              <v:path arrowok="t" fillok="f" o:connecttype="none"/>
              <o:lock v:ext="edit" shapetype="t"/>
            </v:shapetype>
            <v:shape id="_x0000_s1083" type="#_x0000_t32" style="position:absolute;left:1558;top:6661;width:1010;height:251;flip:x" o:connectortype="straight" o:regroupid="2" strokecolor="#ffc000" strokeweight="1.5pt">
              <v:stroke endarrow="block"/>
            </v:shape>
            <v:shape id="_x0000_s1084" type="#_x0000_t202" style="position:absolute;left:2568;top:6403;width:550;height:420;mso-height-percent:200;mso-height-percent:200;mso-width-relative:margin;mso-height-relative:margin" o:regroupid="2" filled="f" stroked="f" strokecolor="#ffc000">
              <v:textbox style="mso-next-textbox:#_x0000_s1084;mso-fit-shape-to-text:t">
                <w:txbxContent>
                  <w:p w:rsidR="00373374" w:rsidRPr="00DC766F" w:rsidRDefault="00373374">
                    <w:pPr>
                      <w:rPr>
                        <w:rFonts w:ascii="Arial" w:hAnsi="Arial" w:cs="Arial"/>
                        <w:b/>
                        <w:color w:val="FFC000"/>
                        <w:sz w:val="24"/>
                        <w:szCs w:val="24"/>
                      </w:rPr>
                    </w:pPr>
                    <w:r>
                      <w:rPr>
                        <w:rFonts w:ascii="Arial" w:hAnsi="Arial" w:cs="Arial"/>
                        <w:b/>
                        <w:color w:val="FFC000"/>
                        <w:sz w:val="24"/>
                        <w:szCs w:val="24"/>
                      </w:rPr>
                      <w:t>N</w:t>
                    </w:r>
                  </w:p>
                </w:txbxContent>
              </v:textbox>
            </v:shape>
          </v:group>
        </w:pict>
      </w:r>
      <w:r w:rsidR="00786E12">
        <w:rPr>
          <w:noProof/>
          <w:sz w:val="24"/>
          <w:szCs w:val="24"/>
        </w:rPr>
        <w:drawing>
          <wp:inline distT="0" distB="0" distL="0" distR="0">
            <wp:extent cx="3220871" cy="2112901"/>
            <wp:effectExtent l="19050" t="0" r="0" b="0"/>
            <wp:docPr id="10" name="Picture 7" descr="af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fter"/>
                    <pic:cNvPicPr>
                      <a:picLocks noChangeAspect="1" noChangeArrowheads="1"/>
                    </pic:cNvPicPr>
                  </pic:nvPicPr>
                  <pic:blipFill>
                    <a:blip r:embed="rId9" cstate="print"/>
                    <a:srcRect/>
                    <a:stretch>
                      <a:fillRect/>
                    </a:stretch>
                  </pic:blipFill>
                  <pic:spPr bwMode="auto">
                    <a:xfrm>
                      <a:off x="0" y="0"/>
                      <a:ext cx="3224229" cy="2115104"/>
                    </a:xfrm>
                    <a:prstGeom prst="rect">
                      <a:avLst/>
                    </a:prstGeom>
                    <a:noFill/>
                    <a:ln w="9525">
                      <a:noFill/>
                      <a:miter lim="800000"/>
                      <a:headEnd/>
                      <a:tailEnd/>
                    </a:ln>
                  </pic:spPr>
                </pic:pic>
              </a:graphicData>
            </a:graphic>
          </wp:inline>
        </w:drawing>
      </w:r>
      <w:r w:rsidR="0050581D">
        <w:rPr>
          <w:noProof/>
          <w:sz w:val="24"/>
          <w:szCs w:val="24"/>
        </w:rPr>
        <w:drawing>
          <wp:inline distT="0" distB="0" distL="0" distR="0">
            <wp:extent cx="3195160" cy="2095286"/>
            <wp:effectExtent l="19050" t="19050" r="24290" b="19264"/>
            <wp:docPr id="1" name="Picture 5" descr="w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te"/>
                    <pic:cNvPicPr>
                      <a:picLocks noChangeAspect="1" noChangeArrowheads="1"/>
                    </pic:cNvPicPr>
                  </pic:nvPicPr>
                  <pic:blipFill>
                    <a:blip r:embed="rId10" cstate="print"/>
                    <a:srcRect t="7782" r="2745"/>
                    <a:stretch>
                      <a:fillRect/>
                    </a:stretch>
                  </pic:blipFill>
                  <pic:spPr bwMode="auto">
                    <a:xfrm>
                      <a:off x="0" y="0"/>
                      <a:ext cx="3188174" cy="2090705"/>
                    </a:xfrm>
                    <a:prstGeom prst="rect">
                      <a:avLst/>
                    </a:prstGeom>
                    <a:noFill/>
                    <a:ln w="6350" cmpd="sng">
                      <a:solidFill>
                        <a:srgbClr val="000000"/>
                      </a:solidFill>
                      <a:miter lim="800000"/>
                      <a:headEnd/>
                      <a:tailEnd/>
                    </a:ln>
                    <a:effectLst/>
                  </pic:spPr>
                </pic:pic>
              </a:graphicData>
            </a:graphic>
          </wp:inline>
        </w:drawing>
      </w:r>
    </w:p>
    <w:tbl>
      <w:tblPr>
        <w:tblW w:w="4985" w:type="pct"/>
        <w:tblBorders>
          <w:top w:val="single" w:sz="4" w:space="0" w:color="auto"/>
          <w:left w:val="single" w:sz="4" w:space="0" w:color="auto"/>
          <w:bottom w:val="single" w:sz="4" w:space="0" w:color="auto"/>
          <w:right w:val="single" w:sz="4" w:space="0" w:color="auto"/>
        </w:tblBorders>
        <w:tblCellMar>
          <w:left w:w="0" w:type="dxa"/>
          <w:right w:w="0" w:type="dxa"/>
        </w:tblCellMar>
        <w:tblLook w:val="04A0"/>
      </w:tblPr>
      <w:tblGrid>
        <w:gridCol w:w="3281"/>
        <w:gridCol w:w="3277"/>
        <w:gridCol w:w="3645"/>
      </w:tblGrid>
      <w:tr w:rsidR="00A8125A" w:rsidRPr="0050581D" w:rsidTr="001B03AC">
        <w:trPr>
          <w:trHeight w:val="1696"/>
        </w:trPr>
        <w:tc>
          <w:tcPr>
            <w:tcW w:w="1608" w:type="pct"/>
            <w:tcBorders>
              <w:top w:val="single" w:sz="4" w:space="0" w:color="auto"/>
              <w:bottom w:val="single" w:sz="4" w:space="0" w:color="auto"/>
              <w:right w:val="single" w:sz="6" w:space="0" w:color="auto"/>
            </w:tcBorders>
            <w:vAlign w:val="center"/>
            <w:hideMark/>
          </w:tcPr>
          <w:p w:rsidR="00A8125A" w:rsidRPr="00B45BE9" w:rsidRDefault="00A8125A" w:rsidP="00D623D7">
            <w:pPr>
              <w:numPr>
                <w:ilvl w:val="0"/>
                <w:numId w:val="3"/>
              </w:numPr>
              <w:tabs>
                <w:tab w:val="clear" w:pos="1080"/>
              </w:tabs>
              <w:spacing w:before="20" w:after="20"/>
              <w:ind w:left="545"/>
            </w:pPr>
            <w:r w:rsidRPr="00B45BE9">
              <w:t xml:space="preserve">Tipping Floor </w:t>
            </w:r>
          </w:p>
          <w:p w:rsidR="00A8125A" w:rsidRPr="00B45BE9" w:rsidRDefault="00A8125A" w:rsidP="00D623D7">
            <w:pPr>
              <w:numPr>
                <w:ilvl w:val="0"/>
                <w:numId w:val="3"/>
              </w:numPr>
              <w:tabs>
                <w:tab w:val="clear" w:pos="1080"/>
              </w:tabs>
              <w:spacing w:before="20" w:after="20"/>
              <w:ind w:left="545"/>
            </w:pPr>
            <w:r w:rsidRPr="00B45BE9">
              <w:t xml:space="preserve">Refuse Holding Pit </w:t>
            </w:r>
          </w:p>
          <w:p w:rsidR="00A8125A" w:rsidRPr="00B45BE9" w:rsidRDefault="00A8125A" w:rsidP="00D623D7">
            <w:pPr>
              <w:numPr>
                <w:ilvl w:val="0"/>
                <w:numId w:val="3"/>
              </w:numPr>
              <w:tabs>
                <w:tab w:val="clear" w:pos="1080"/>
              </w:tabs>
              <w:spacing w:before="20" w:after="20"/>
              <w:ind w:left="545"/>
            </w:pPr>
            <w:r w:rsidRPr="00B45BE9">
              <w:t>Grapple</w:t>
            </w:r>
          </w:p>
          <w:p w:rsidR="00A8125A" w:rsidRPr="00B45BE9" w:rsidRDefault="00A8125A" w:rsidP="00D623D7">
            <w:pPr>
              <w:numPr>
                <w:ilvl w:val="0"/>
                <w:numId w:val="3"/>
              </w:numPr>
              <w:tabs>
                <w:tab w:val="clear" w:pos="1080"/>
              </w:tabs>
              <w:spacing w:before="20" w:after="20"/>
              <w:ind w:left="545"/>
            </w:pPr>
            <w:r w:rsidRPr="00B45BE9">
              <w:t xml:space="preserve">Feed Chute </w:t>
            </w:r>
          </w:p>
          <w:p w:rsidR="00A8125A" w:rsidRPr="00B45BE9" w:rsidRDefault="00A8125A" w:rsidP="00D623D7">
            <w:pPr>
              <w:numPr>
                <w:ilvl w:val="0"/>
                <w:numId w:val="3"/>
              </w:numPr>
              <w:tabs>
                <w:tab w:val="clear" w:pos="1080"/>
              </w:tabs>
              <w:spacing w:before="20" w:after="20"/>
              <w:ind w:left="545"/>
            </w:pPr>
            <w:r w:rsidRPr="00B45BE9">
              <w:t xml:space="preserve">Martin Stoker Grate </w:t>
            </w:r>
          </w:p>
          <w:p w:rsidR="00A8125A" w:rsidRPr="00B45BE9" w:rsidRDefault="00A8125A" w:rsidP="00D623D7">
            <w:pPr>
              <w:numPr>
                <w:ilvl w:val="0"/>
                <w:numId w:val="3"/>
              </w:numPr>
              <w:tabs>
                <w:tab w:val="clear" w:pos="1080"/>
              </w:tabs>
              <w:spacing w:before="20" w:after="20"/>
              <w:ind w:left="545"/>
            </w:pPr>
            <w:r w:rsidRPr="00B45BE9">
              <w:t xml:space="preserve">Combustion Air Fan </w:t>
            </w:r>
          </w:p>
        </w:tc>
        <w:tc>
          <w:tcPr>
            <w:tcW w:w="1606" w:type="pct"/>
            <w:tcBorders>
              <w:top w:val="single" w:sz="4" w:space="0" w:color="auto"/>
              <w:left w:val="single" w:sz="6" w:space="0" w:color="auto"/>
              <w:bottom w:val="single" w:sz="4" w:space="0" w:color="auto"/>
              <w:right w:val="single" w:sz="6" w:space="0" w:color="auto"/>
            </w:tcBorders>
            <w:vAlign w:val="center"/>
            <w:hideMark/>
          </w:tcPr>
          <w:p w:rsidR="00A8125A" w:rsidRPr="00B45BE9" w:rsidRDefault="00A8125A" w:rsidP="00D623D7">
            <w:pPr>
              <w:numPr>
                <w:ilvl w:val="0"/>
                <w:numId w:val="3"/>
              </w:numPr>
              <w:tabs>
                <w:tab w:val="clear" w:pos="1080"/>
                <w:tab w:val="left" w:pos="540"/>
              </w:tabs>
              <w:spacing w:before="20" w:after="20"/>
              <w:ind w:left="180" w:firstLine="0"/>
            </w:pPr>
            <w:r w:rsidRPr="00B45BE9">
              <w:t>Martin Ash Discharger</w:t>
            </w:r>
          </w:p>
          <w:p w:rsidR="00A8125A" w:rsidRPr="00B45BE9" w:rsidRDefault="00A8125A" w:rsidP="00D623D7">
            <w:pPr>
              <w:numPr>
                <w:ilvl w:val="0"/>
                <w:numId w:val="3"/>
              </w:numPr>
              <w:tabs>
                <w:tab w:val="clear" w:pos="1080"/>
                <w:tab w:val="left" w:pos="540"/>
              </w:tabs>
              <w:spacing w:before="20" w:after="20"/>
              <w:ind w:left="180" w:firstLine="0"/>
            </w:pPr>
            <w:r w:rsidRPr="00B45BE9">
              <w:t>Combustion Chamber</w:t>
            </w:r>
          </w:p>
          <w:p w:rsidR="00A8125A" w:rsidRPr="00B45BE9" w:rsidRDefault="00A8125A" w:rsidP="00D623D7">
            <w:pPr>
              <w:numPr>
                <w:ilvl w:val="0"/>
                <w:numId w:val="3"/>
              </w:numPr>
              <w:tabs>
                <w:tab w:val="clear" w:pos="1080"/>
                <w:tab w:val="left" w:pos="540"/>
              </w:tabs>
              <w:spacing w:before="20" w:after="20"/>
              <w:ind w:left="180" w:firstLine="0"/>
            </w:pPr>
            <w:r w:rsidRPr="00B45BE9">
              <w:t>Radiant Zone (furnace)</w:t>
            </w:r>
          </w:p>
          <w:p w:rsidR="00A8125A" w:rsidRPr="00B45BE9" w:rsidRDefault="00A8125A" w:rsidP="00D623D7">
            <w:pPr>
              <w:numPr>
                <w:ilvl w:val="0"/>
                <w:numId w:val="3"/>
              </w:numPr>
              <w:tabs>
                <w:tab w:val="clear" w:pos="1080"/>
                <w:tab w:val="left" w:pos="540"/>
              </w:tabs>
              <w:spacing w:before="20" w:after="20"/>
              <w:ind w:left="180" w:firstLine="0"/>
            </w:pPr>
            <w:r w:rsidRPr="00B45BE9">
              <w:t>Convection Zone</w:t>
            </w:r>
          </w:p>
          <w:p w:rsidR="00A8125A" w:rsidRPr="00B45BE9" w:rsidRDefault="00A8125A" w:rsidP="00D623D7">
            <w:pPr>
              <w:numPr>
                <w:ilvl w:val="0"/>
                <w:numId w:val="3"/>
              </w:numPr>
              <w:tabs>
                <w:tab w:val="clear" w:pos="1080"/>
                <w:tab w:val="left" w:pos="540"/>
              </w:tabs>
              <w:spacing w:before="20" w:after="20"/>
              <w:ind w:left="180" w:firstLine="0"/>
            </w:pPr>
            <w:r w:rsidRPr="00B45BE9">
              <w:t>Superheater</w:t>
            </w:r>
          </w:p>
          <w:p w:rsidR="00A8125A" w:rsidRPr="00B45BE9" w:rsidRDefault="00A8125A" w:rsidP="00D623D7">
            <w:pPr>
              <w:numPr>
                <w:ilvl w:val="0"/>
                <w:numId w:val="3"/>
              </w:numPr>
              <w:tabs>
                <w:tab w:val="clear" w:pos="1080"/>
                <w:tab w:val="left" w:pos="540"/>
              </w:tabs>
              <w:spacing w:before="20" w:after="20"/>
              <w:ind w:left="180" w:firstLine="0"/>
            </w:pPr>
            <w:r w:rsidRPr="00B45BE9">
              <w:t>Economizer</w:t>
            </w:r>
          </w:p>
        </w:tc>
        <w:tc>
          <w:tcPr>
            <w:tcW w:w="1786" w:type="pct"/>
            <w:tcBorders>
              <w:top w:val="single" w:sz="4" w:space="0" w:color="auto"/>
              <w:left w:val="single" w:sz="6" w:space="0" w:color="auto"/>
              <w:bottom w:val="single" w:sz="4" w:space="0" w:color="auto"/>
            </w:tcBorders>
            <w:vAlign w:val="center"/>
            <w:hideMark/>
          </w:tcPr>
          <w:p w:rsidR="00A8125A" w:rsidRPr="00B45BE9" w:rsidRDefault="00A8125A" w:rsidP="00D623D7">
            <w:pPr>
              <w:numPr>
                <w:ilvl w:val="0"/>
                <w:numId w:val="3"/>
              </w:numPr>
              <w:tabs>
                <w:tab w:val="clear" w:pos="1080"/>
              </w:tabs>
              <w:spacing w:before="20" w:after="20"/>
              <w:ind w:left="539"/>
            </w:pPr>
            <w:r w:rsidRPr="00B45BE9">
              <w:t>Spray Dryer Absorber</w:t>
            </w:r>
          </w:p>
          <w:p w:rsidR="00A8125A" w:rsidRPr="00B45BE9" w:rsidRDefault="00A8125A" w:rsidP="00D623D7">
            <w:pPr>
              <w:numPr>
                <w:ilvl w:val="0"/>
                <w:numId w:val="3"/>
              </w:numPr>
              <w:tabs>
                <w:tab w:val="clear" w:pos="1080"/>
              </w:tabs>
              <w:spacing w:before="20" w:after="20"/>
              <w:ind w:left="539"/>
            </w:pPr>
            <w:r w:rsidRPr="00B45BE9">
              <w:t xml:space="preserve">Fabric Filter Baghouse </w:t>
            </w:r>
          </w:p>
          <w:p w:rsidR="00A8125A" w:rsidRPr="00B45BE9" w:rsidRDefault="00A8125A" w:rsidP="00D623D7">
            <w:pPr>
              <w:numPr>
                <w:ilvl w:val="0"/>
                <w:numId w:val="3"/>
              </w:numPr>
              <w:tabs>
                <w:tab w:val="clear" w:pos="1080"/>
              </w:tabs>
              <w:spacing w:before="20" w:after="20"/>
              <w:ind w:left="539"/>
            </w:pPr>
            <w:r w:rsidRPr="00B45BE9">
              <w:t xml:space="preserve">Fly Ash Handling System </w:t>
            </w:r>
          </w:p>
          <w:p w:rsidR="00A8125A" w:rsidRPr="00B45BE9" w:rsidRDefault="00A8125A" w:rsidP="00D623D7">
            <w:pPr>
              <w:numPr>
                <w:ilvl w:val="0"/>
                <w:numId w:val="3"/>
              </w:numPr>
              <w:tabs>
                <w:tab w:val="clear" w:pos="1080"/>
              </w:tabs>
              <w:spacing w:before="20" w:after="20"/>
              <w:ind w:left="539"/>
            </w:pPr>
            <w:r w:rsidRPr="00B45BE9">
              <w:t xml:space="preserve">Induced Draft Air Fan </w:t>
            </w:r>
          </w:p>
          <w:p w:rsidR="00A8125A" w:rsidRPr="00B45BE9" w:rsidRDefault="00CD2C4E" w:rsidP="00D623D7">
            <w:pPr>
              <w:numPr>
                <w:ilvl w:val="0"/>
                <w:numId w:val="3"/>
              </w:numPr>
              <w:tabs>
                <w:tab w:val="clear" w:pos="1080"/>
              </w:tabs>
              <w:spacing w:before="20" w:after="20"/>
              <w:ind w:left="539"/>
            </w:pPr>
            <w:r>
              <w:t xml:space="preserve">Multi-flue </w:t>
            </w:r>
            <w:r w:rsidR="00A8125A" w:rsidRPr="00B45BE9">
              <w:t xml:space="preserve">Stack </w:t>
            </w:r>
          </w:p>
        </w:tc>
      </w:tr>
    </w:tbl>
    <w:p w:rsidR="00A8125A" w:rsidRDefault="00A8125A" w:rsidP="006B0889">
      <w:pPr>
        <w:pStyle w:val="BodyText3"/>
        <w:widowControl w:val="0"/>
        <w:tabs>
          <w:tab w:val="left" w:pos="5400"/>
        </w:tabs>
        <w:ind w:right="-274"/>
        <w:rPr>
          <w:b/>
          <w:szCs w:val="22"/>
        </w:rPr>
      </w:pPr>
      <w:r w:rsidRPr="00B45BE9">
        <w:rPr>
          <w:b/>
          <w:szCs w:val="22"/>
        </w:rPr>
        <w:t xml:space="preserve">Figure </w:t>
      </w:r>
      <w:r w:rsidR="00A03F83">
        <w:rPr>
          <w:b/>
          <w:szCs w:val="22"/>
        </w:rPr>
        <w:t>1</w:t>
      </w:r>
      <w:r>
        <w:rPr>
          <w:b/>
          <w:szCs w:val="22"/>
        </w:rPr>
        <w:t xml:space="preserve"> </w:t>
      </w:r>
      <w:r w:rsidR="00786E12">
        <w:rPr>
          <w:b/>
          <w:szCs w:val="22"/>
        </w:rPr>
        <w:t>–</w:t>
      </w:r>
      <w:r>
        <w:rPr>
          <w:b/>
          <w:szCs w:val="22"/>
        </w:rPr>
        <w:t xml:space="preserve"> </w:t>
      </w:r>
      <w:r w:rsidR="00786E12">
        <w:rPr>
          <w:b/>
          <w:szCs w:val="22"/>
        </w:rPr>
        <w:t xml:space="preserve">Aerial </w:t>
      </w:r>
      <w:r w:rsidR="00CD2C4E" w:rsidRPr="00B45BE9">
        <w:rPr>
          <w:b/>
          <w:szCs w:val="22"/>
        </w:rPr>
        <w:t>Photograph o</w:t>
      </w:r>
      <w:r w:rsidR="00CD2C4E">
        <w:rPr>
          <w:b/>
          <w:szCs w:val="22"/>
        </w:rPr>
        <w:t xml:space="preserve">f </w:t>
      </w:r>
      <w:r w:rsidR="00CD2C4E" w:rsidRPr="00A8125A">
        <w:rPr>
          <w:b/>
          <w:szCs w:val="22"/>
        </w:rPr>
        <w:t>Hillsborough County</w:t>
      </w:r>
      <w:r w:rsidR="00CD2C4E" w:rsidRPr="00A8125A">
        <w:rPr>
          <w:b/>
          <w:color w:val="000000"/>
          <w:szCs w:val="22"/>
        </w:rPr>
        <w:t xml:space="preserve"> RRF</w:t>
      </w:r>
      <w:r w:rsidR="00CD2C4E" w:rsidRPr="00B45BE9">
        <w:rPr>
          <w:b/>
          <w:szCs w:val="22"/>
        </w:rPr>
        <w:t xml:space="preserve"> </w:t>
      </w:r>
      <w:r w:rsidR="00CD2C4E">
        <w:rPr>
          <w:b/>
          <w:szCs w:val="22"/>
        </w:rPr>
        <w:t xml:space="preserve">and </w:t>
      </w:r>
      <w:r w:rsidRPr="00B45BE9">
        <w:rPr>
          <w:b/>
          <w:szCs w:val="22"/>
        </w:rPr>
        <w:t>Covanta/Martin, GmbH Mass Burn Process</w:t>
      </w:r>
    </w:p>
    <w:p w:rsidR="006B0889" w:rsidRPr="00CD2C4E" w:rsidRDefault="006B0889" w:rsidP="00D623D7">
      <w:pPr>
        <w:widowControl w:val="0"/>
        <w:numPr>
          <w:ilvl w:val="1"/>
          <w:numId w:val="8"/>
        </w:numPr>
        <w:tabs>
          <w:tab w:val="left" w:pos="450"/>
        </w:tabs>
        <w:spacing w:after="120"/>
        <w:ind w:left="446" w:hanging="446"/>
        <w:rPr>
          <w:b/>
          <w:bCs/>
          <w:sz w:val="22"/>
          <w:szCs w:val="22"/>
        </w:rPr>
      </w:pPr>
      <w:r w:rsidRPr="00CD2C4E">
        <w:rPr>
          <w:b/>
          <w:bCs/>
          <w:sz w:val="22"/>
          <w:szCs w:val="22"/>
        </w:rPr>
        <w:t xml:space="preserve">Waste-to-Energy Process </w:t>
      </w:r>
      <w:r w:rsidR="00EE14F8">
        <w:rPr>
          <w:b/>
          <w:bCs/>
          <w:sz w:val="22"/>
          <w:szCs w:val="22"/>
        </w:rPr>
        <w:t>D</w:t>
      </w:r>
      <w:r w:rsidRPr="00CD2C4E">
        <w:rPr>
          <w:b/>
          <w:bCs/>
          <w:sz w:val="22"/>
          <w:szCs w:val="22"/>
        </w:rPr>
        <w:t>escription</w:t>
      </w:r>
    </w:p>
    <w:p w:rsidR="006B0889" w:rsidRPr="00C7664F" w:rsidRDefault="006B0889" w:rsidP="006B0889">
      <w:pPr>
        <w:tabs>
          <w:tab w:val="left" w:pos="360"/>
        </w:tabs>
        <w:spacing w:after="60"/>
        <w:rPr>
          <w:sz w:val="22"/>
          <w:szCs w:val="22"/>
        </w:rPr>
      </w:pPr>
      <w:r w:rsidRPr="00C7664F">
        <w:rPr>
          <w:sz w:val="22"/>
          <w:szCs w:val="22"/>
        </w:rPr>
        <w:t>A</w:t>
      </w:r>
      <w:r>
        <w:rPr>
          <w:sz w:val="22"/>
          <w:szCs w:val="22"/>
        </w:rPr>
        <w:t xml:space="preserve"> waste-to-energy (</w:t>
      </w:r>
      <w:r w:rsidRPr="00C7664F">
        <w:rPr>
          <w:sz w:val="22"/>
          <w:szCs w:val="22"/>
        </w:rPr>
        <w:t>WTE</w:t>
      </w:r>
      <w:r>
        <w:rPr>
          <w:sz w:val="22"/>
          <w:szCs w:val="22"/>
        </w:rPr>
        <w:t>)</w:t>
      </w:r>
      <w:r w:rsidRPr="00C7664F">
        <w:rPr>
          <w:sz w:val="22"/>
          <w:szCs w:val="22"/>
        </w:rPr>
        <w:t xml:space="preserve"> facility is a complete industrial installation containing most or all of the following features:</w:t>
      </w:r>
    </w:p>
    <w:p w:rsidR="006B0889" w:rsidRPr="00C7664F" w:rsidRDefault="006B0889" w:rsidP="00D623D7">
      <w:pPr>
        <w:widowControl w:val="0"/>
        <w:numPr>
          <w:ilvl w:val="0"/>
          <w:numId w:val="9"/>
        </w:numPr>
        <w:tabs>
          <w:tab w:val="clear" w:pos="1080"/>
          <w:tab w:val="num" w:pos="360"/>
        </w:tabs>
        <w:spacing w:after="60"/>
        <w:ind w:left="360"/>
        <w:rPr>
          <w:sz w:val="22"/>
          <w:szCs w:val="22"/>
        </w:rPr>
      </w:pPr>
      <w:r w:rsidRPr="00C7664F">
        <w:rPr>
          <w:sz w:val="22"/>
          <w:szCs w:val="22"/>
        </w:rPr>
        <w:t>Waste receiving and separation</w:t>
      </w:r>
      <w:r>
        <w:rPr>
          <w:sz w:val="22"/>
          <w:szCs w:val="22"/>
        </w:rPr>
        <w:t>;</w:t>
      </w:r>
    </w:p>
    <w:p w:rsidR="006B0889" w:rsidRPr="00C7664F" w:rsidRDefault="006B0889" w:rsidP="00D623D7">
      <w:pPr>
        <w:widowControl w:val="0"/>
        <w:numPr>
          <w:ilvl w:val="0"/>
          <w:numId w:val="9"/>
        </w:numPr>
        <w:tabs>
          <w:tab w:val="clear" w:pos="1080"/>
          <w:tab w:val="num" w:pos="360"/>
        </w:tabs>
        <w:spacing w:after="60"/>
        <w:ind w:left="360"/>
        <w:rPr>
          <w:sz w:val="22"/>
          <w:szCs w:val="22"/>
        </w:rPr>
      </w:pPr>
      <w:r w:rsidRPr="00C7664F">
        <w:rPr>
          <w:sz w:val="22"/>
          <w:szCs w:val="22"/>
        </w:rPr>
        <w:t>Waste storage and handling</w:t>
      </w:r>
      <w:r>
        <w:rPr>
          <w:sz w:val="22"/>
          <w:szCs w:val="22"/>
        </w:rPr>
        <w:t>;</w:t>
      </w:r>
    </w:p>
    <w:p w:rsidR="006B0889" w:rsidRPr="00C7664F" w:rsidRDefault="006B0889" w:rsidP="00D623D7">
      <w:pPr>
        <w:widowControl w:val="0"/>
        <w:numPr>
          <w:ilvl w:val="0"/>
          <w:numId w:val="9"/>
        </w:numPr>
        <w:tabs>
          <w:tab w:val="clear" w:pos="1080"/>
          <w:tab w:val="num" w:pos="360"/>
        </w:tabs>
        <w:spacing w:after="60"/>
        <w:ind w:left="360"/>
        <w:rPr>
          <w:sz w:val="22"/>
          <w:szCs w:val="22"/>
        </w:rPr>
      </w:pPr>
      <w:r w:rsidRPr="00C7664F">
        <w:rPr>
          <w:sz w:val="22"/>
          <w:szCs w:val="22"/>
        </w:rPr>
        <w:t>Waste feeding</w:t>
      </w:r>
      <w:r>
        <w:rPr>
          <w:sz w:val="22"/>
          <w:szCs w:val="22"/>
        </w:rPr>
        <w:t>;</w:t>
      </w:r>
    </w:p>
    <w:p w:rsidR="006B0889" w:rsidRPr="00C7664F" w:rsidRDefault="006B0889" w:rsidP="00D623D7">
      <w:pPr>
        <w:widowControl w:val="0"/>
        <w:numPr>
          <w:ilvl w:val="0"/>
          <w:numId w:val="9"/>
        </w:numPr>
        <w:tabs>
          <w:tab w:val="clear" w:pos="1080"/>
          <w:tab w:val="num" w:pos="360"/>
        </w:tabs>
        <w:spacing w:after="60"/>
        <w:ind w:left="360"/>
        <w:rPr>
          <w:sz w:val="22"/>
          <w:szCs w:val="22"/>
        </w:rPr>
      </w:pPr>
      <w:r w:rsidRPr="00C7664F">
        <w:rPr>
          <w:sz w:val="22"/>
          <w:szCs w:val="22"/>
        </w:rPr>
        <w:t>Furnace for combustion</w:t>
      </w:r>
      <w:r>
        <w:rPr>
          <w:sz w:val="22"/>
          <w:szCs w:val="22"/>
        </w:rPr>
        <w:t>;</w:t>
      </w:r>
    </w:p>
    <w:p w:rsidR="006B0889" w:rsidRPr="00C7664F" w:rsidRDefault="006B0889" w:rsidP="00D623D7">
      <w:pPr>
        <w:widowControl w:val="0"/>
        <w:numPr>
          <w:ilvl w:val="0"/>
          <w:numId w:val="9"/>
        </w:numPr>
        <w:tabs>
          <w:tab w:val="clear" w:pos="1080"/>
          <w:tab w:val="num" w:pos="360"/>
        </w:tabs>
        <w:spacing w:after="60"/>
        <w:ind w:left="360"/>
        <w:rPr>
          <w:sz w:val="22"/>
          <w:szCs w:val="22"/>
        </w:rPr>
      </w:pPr>
      <w:r w:rsidRPr="00C7664F">
        <w:rPr>
          <w:sz w:val="22"/>
          <w:szCs w:val="22"/>
        </w:rPr>
        <w:t>Heat recovery equipment followed by steam and electricity generation</w:t>
      </w:r>
      <w:r>
        <w:rPr>
          <w:sz w:val="22"/>
          <w:szCs w:val="22"/>
        </w:rPr>
        <w:t>;</w:t>
      </w:r>
    </w:p>
    <w:p w:rsidR="006B0889" w:rsidRPr="00C7664F" w:rsidRDefault="006B0889" w:rsidP="00D623D7">
      <w:pPr>
        <w:widowControl w:val="0"/>
        <w:numPr>
          <w:ilvl w:val="0"/>
          <w:numId w:val="9"/>
        </w:numPr>
        <w:tabs>
          <w:tab w:val="clear" w:pos="1080"/>
          <w:tab w:val="num" w:pos="360"/>
        </w:tabs>
        <w:spacing w:after="60"/>
        <w:ind w:left="360"/>
        <w:rPr>
          <w:sz w:val="22"/>
          <w:szCs w:val="22"/>
        </w:rPr>
      </w:pPr>
      <w:r w:rsidRPr="00C7664F">
        <w:rPr>
          <w:sz w:val="22"/>
          <w:szCs w:val="22"/>
        </w:rPr>
        <w:lastRenderedPageBreak/>
        <w:t>Air pollution control devices (flue gas treatment)</w:t>
      </w:r>
      <w:r>
        <w:rPr>
          <w:sz w:val="22"/>
          <w:szCs w:val="22"/>
        </w:rPr>
        <w:t>; and</w:t>
      </w:r>
    </w:p>
    <w:p w:rsidR="006B0889" w:rsidRDefault="006B0889" w:rsidP="00D623D7">
      <w:pPr>
        <w:widowControl w:val="0"/>
        <w:numPr>
          <w:ilvl w:val="0"/>
          <w:numId w:val="9"/>
        </w:numPr>
        <w:tabs>
          <w:tab w:val="clear" w:pos="1080"/>
          <w:tab w:val="num" w:pos="360"/>
        </w:tabs>
        <w:spacing w:after="120"/>
        <w:ind w:left="360"/>
        <w:rPr>
          <w:sz w:val="22"/>
          <w:szCs w:val="22"/>
        </w:rPr>
      </w:pPr>
      <w:r w:rsidRPr="00C7664F">
        <w:rPr>
          <w:sz w:val="22"/>
          <w:szCs w:val="22"/>
        </w:rPr>
        <w:t>Residue (ash and wastewater) handling installations</w:t>
      </w:r>
      <w:r>
        <w:rPr>
          <w:sz w:val="22"/>
          <w:szCs w:val="22"/>
        </w:rPr>
        <w:t>.</w:t>
      </w:r>
    </w:p>
    <w:p w:rsidR="006B0889" w:rsidRPr="00C7664F" w:rsidRDefault="006B0889" w:rsidP="006B0889">
      <w:pPr>
        <w:widowControl w:val="0"/>
        <w:spacing w:after="120"/>
        <w:rPr>
          <w:sz w:val="22"/>
          <w:szCs w:val="22"/>
        </w:rPr>
      </w:pPr>
      <w:r w:rsidRPr="00C7664F">
        <w:rPr>
          <w:sz w:val="22"/>
          <w:szCs w:val="22"/>
        </w:rPr>
        <w:t xml:space="preserve">A schematic of a mass-burn MWC with steam electrical power production is shown in </w:t>
      </w:r>
      <w:r>
        <w:rPr>
          <w:sz w:val="22"/>
          <w:szCs w:val="22"/>
        </w:rPr>
        <w:t>Figure 2</w:t>
      </w:r>
      <w:r w:rsidRPr="00C7664F">
        <w:rPr>
          <w:sz w:val="22"/>
          <w:szCs w:val="22"/>
        </w:rPr>
        <w:t xml:space="preserve">.  Some of the points where pollutants </w:t>
      </w:r>
      <w:r w:rsidR="00CD2C4E">
        <w:rPr>
          <w:sz w:val="22"/>
          <w:szCs w:val="22"/>
        </w:rPr>
        <w:t xml:space="preserve">(defined further below) </w:t>
      </w:r>
      <w:r w:rsidRPr="00C7664F">
        <w:rPr>
          <w:sz w:val="22"/>
          <w:szCs w:val="22"/>
        </w:rPr>
        <w:t xml:space="preserve">can be removed or formation prevented are shown.  </w:t>
      </w:r>
    </w:p>
    <w:p w:rsidR="006B0889" w:rsidRPr="00C7664F" w:rsidRDefault="00CB6032" w:rsidP="007E5CC1">
      <w:pPr>
        <w:widowControl w:val="0"/>
        <w:tabs>
          <w:tab w:val="left" w:pos="5130"/>
        </w:tabs>
        <w:spacing w:after="120"/>
        <w:rPr>
          <w:color w:val="000000"/>
          <w:sz w:val="22"/>
          <w:szCs w:val="22"/>
        </w:rPr>
      </w:pPr>
      <w:r w:rsidRPr="00CB6032">
        <w:rPr>
          <w:noProof/>
          <w:sz w:val="22"/>
          <w:szCs w:val="22"/>
        </w:rPr>
        <w:pict>
          <v:group id="_x0000_s1082" style="position:absolute;margin-left:279.8pt;margin-top:7.15pt;width:213.6pt;height:61.75pt;z-index:251704832" coordorigin="6740,2776" coordsize="3800,945">
            <v:group id="_x0000_s1072" style="position:absolute;left:6740;top:2776;width:3800;height:784" coordorigin="6740,2776" coordsize="3800,784">
              <v:shape id="_x0000_s1069" type="#_x0000_t202" style="position:absolute;left:8548;top:2776;width:1992;height:604;mso-height-percent:200;mso-height-percent:200;mso-width-relative:margin;mso-height-relative:margin" filled="f" stroked="f">
                <v:textbox>
                  <w:txbxContent>
                    <w:p w:rsidR="00373374" w:rsidRPr="007E5CC1" w:rsidRDefault="00373374">
                      <w:pPr>
                        <w:rPr>
                          <w:rFonts w:ascii="Arial" w:hAnsi="Arial" w:cs="Arial"/>
                          <w:b/>
                          <w:color w:val="FABF8F" w:themeColor="accent6" w:themeTint="99"/>
                        </w:rPr>
                      </w:pPr>
                      <w:r w:rsidRPr="007E5CC1">
                        <w:rPr>
                          <w:rFonts w:ascii="Arial" w:hAnsi="Arial" w:cs="Arial"/>
                          <w:b/>
                          <w:color w:val="FABF8F" w:themeColor="accent6" w:themeTint="99"/>
                        </w:rPr>
                        <w:t>Feed Chute Hopper</w:t>
                      </w:r>
                    </w:p>
                  </w:txbxContent>
                </v:textbox>
              </v:shape>
              <v:shape id="_x0000_s1070" type="#_x0000_t202" style="position:absolute;left:6740;top:2977;width:1874;height:286;mso-height-percent:200;mso-height-percent:200;mso-width-relative:margin;mso-height-relative:margin" filled="f" stroked="f">
                <v:textbox style="mso-fit-shape-to-text:t">
                  <w:txbxContent>
                    <w:p w:rsidR="00373374" w:rsidRPr="007E5CC1" w:rsidRDefault="00373374" w:rsidP="007953D5">
                      <w:pPr>
                        <w:rPr>
                          <w:rFonts w:ascii="Arial" w:hAnsi="Arial" w:cs="Arial"/>
                          <w:b/>
                          <w:color w:val="FABF8F" w:themeColor="accent6" w:themeTint="99"/>
                        </w:rPr>
                      </w:pPr>
                      <w:r w:rsidRPr="007E5CC1">
                        <w:rPr>
                          <w:rFonts w:ascii="Arial" w:hAnsi="Arial" w:cs="Arial"/>
                          <w:b/>
                          <w:color w:val="FABF8F" w:themeColor="accent6" w:themeTint="99"/>
                        </w:rPr>
                        <w:t>Crane/Grapples</w:t>
                      </w:r>
                    </w:p>
                  </w:txbxContent>
                </v:textbox>
              </v:shape>
              <v:shape id="_x0000_s1071" type="#_x0000_t32" style="position:absolute;left:9942;top:3087;width:57;height:473" o:connectortype="straight" strokecolor="#fabf8f [1945]" strokeweight="1.5pt">
                <v:stroke endarrow="block"/>
              </v:shape>
            </v:group>
            <v:shape id="_x0000_s1080" type="#_x0000_t32" style="position:absolute;left:7672;top:3351;width:277;height:370;flip:x" o:connectortype="straight" o:regroupid="1" strokecolor="#fabf8f [1945]" strokeweight="1.5pt">
              <v:stroke endarrow="block"/>
            </v:shape>
            <v:shape id="_x0000_s1081" type="#_x0000_t32" style="position:absolute;left:7949;top:3351;width:484;height:370" o:connectortype="straight" strokecolor="#fabf8f [1945]" strokeweight="1.5pt">
              <v:stroke endarrow="block"/>
            </v:shape>
          </v:group>
        </w:pict>
      </w:r>
      <w:r w:rsidR="006B0889" w:rsidRPr="006B0889">
        <w:rPr>
          <w:noProof/>
          <w:color w:val="000000"/>
          <w:sz w:val="22"/>
          <w:szCs w:val="22"/>
          <w:bdr w:val="single" w:sz="4" w:space="0" w:color="auto"/>
        </w:rPr>
        <w:drawing>
          <wp:inline distT="0" distB="0" distL="0" distR="0">
            <wp:extent cx="3192199" cy="2306471"/>
            <wp:effectExtent l="19050" t="0" r="8201" b="0"/>
            <wp:docPr id="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 cstate="print"/>
                    <a:srcRect/>
                    <a:stretch>
                      <a:fillRect/>
                    </a:stretch>
                  </pic:blipFill>
                  <pic:spPr bwMode="auto">
                    <a:xfrm>
                      <a:off x="0" y="0"/>
                      <a:ext cx="3192199" cy="2306471"/>
                    </a:xfrm>
                    <a:prstGeom prst="rect">
                      <a:avLst/>
                    </a:prstGeom>
                    <a:noFill/>
                    <a:ln w="9525">
                      <a:noFill/>
                      <a:miter lim="800000"/>
                      <a:headEnd/>
                      <a:tailEnd/>
                    </a:ln>
                  </pic:spPr>
                </pic:pic>
              </a:graphicData>
            </a:graphic>
          </wp:inline>
        </w:drawing>
      </w:r>
      <w:r w:rsidR="006B0889" w:rsidRPr="00C7664F">
        <w:rPr>
          <w:color w:val="000000"/>
          <w:sz w:val="22"/>
          <w:szCs w:val="22"/>
        </w:rPr>
        <w:tab/>
      </w:r>
      <w:r w:rsidR="002E684B">
        <w:rPr>
          <w:noProof/>
          <w:color w:val="000000"/>
          <w:sz w:val="22"/>
          <w:szCs w:val="22"/>
        </w:rPr>
        <w:drawing>
          <wp:inline distT="0" distB="0" distL="0" distR="0">
            <wp:extent cx="3075291" cy="2306471"/>
            <wp:effectExtent l="19050" t="0" r="0" b="0"/>
            <wp:docPr id="17" name="Picture 16" descr="Brandon-20121016-00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ndon-20121016-00049.jpg"/>
                    <pic:cNvPicPr/>
                  </pic:nvPicPr>
                  <pic:blipFill>
                    <a:blip r:embed="rId12" cstate="print"/>
                    <a:stretch>
                      <a:fillRect/>
                    </a:stretch>
                  </pic:blipFill>
                  <pic:spPr>
                    <a:xfrm>
                      <a:off x="0" y="0"/>
                      <a:ext cx="3082634" cy="2311978"/>
                    </a:xfrm>
                    <a:prstGeom prst="rect">
                      <a:avLst/>
                    </a:prstGeom>
                  </pic:spPr>
                </pic:pic>
              </a:graphicData>
            </a:graphic>
          </wp:inline>
        </w:drawing>
      </w:r>
    </w:p>
    <w:p w:rsidR="006B0889" w:rsidRPr="00C7664F" w:rsidRDefault="006B0889" w:rsidP="002E684B">
      <w:pPr>
        <w:pStyle w:val="BodyText3"/>
        <w:widowControl w:val="0"/>
        <w:numPr>
          <w:ilvl w:val="12"/>
          <w:numId w:val="0"/>
        </w:numPr>
        <w:tabs>
          <w:tab w:val="left" w:pos="5040"/>
        </w:tabs>
        <w:rPr>
          <w:b/>
          <w:szCs w:val="22"/>
        </w:rPr>
      </w:pPr>
      <w:proofErr w:type="gramStart"/>
      <w:r w:rsidRPr="00C7664F">
        <w:rPr>
          <w:b/>
          <w:szCs w:val="22"/>
        </w:rPr>
        <w:t xml:space="preserve">Figure </w:t>
      </w:r>
      <w:r>
        <w:rPr>
          <w:b/>
          <w:szCs w:val="22"/>
        </w:rPr>
        <w:t>2</w:t>
      </w:r>
      <w:r w:rsidRPr="00C7664F">
        <w:rPr>
          <w:b/>
          <w:szCs w:val="22"/>
        </w:rPr>
        <w:t>.</w:t>
      </w:r>
      <w:proofErr w:type="gramEnd"/>
      <w:r w:rsidRPr="00C7664F">
        <w:rPr>
          <w:b/>
          <w:szCs w:val="22"/>
        </w:rPr>
        <w:t xml:space="preserve">  </w:t>
      </w:r>
      <w:r>
        <w:rPr>
          <w:b/>
          <w:szCs w:val="22"/>
        </w:rPr>
        <w:t>Pollutant Generation/Control Points</w:t>
      </w:r>
      <w:r>
        <w:rPr>
          <w:b/>
          <w:szCs w:val="22"/>
        </w:rPr>
        <w:tab/>
        <w:t xml:space="preserve">Figure 3.  </w:t>
      </w:r>
      <w:r w:rsidRPr="00C7664F">
        <w:rPr>
          <w:b/>
          <w:szCs w:val="22"/>
        </w:rPr>
        <w:t xml:space="preserve">Refuse pit at </w:t>
      </w:r>
      <w:r w:rsidR="002E684B">
        <w:rPr>
          <w:b/>
          <w:szCs w:val="22"/>
        </w:rPr>
        <w:t>Hillsborough County RRF</w:t>
      </w:r>
    </w:p>
    <w:p w:rsidR="006B0889" w:rsidRDefault="006B0889" w:rsidP="006B0889">
      <w:pPr>
        <w:widowControl w:val="0"/>
        <w:spacing w:after="120"/>
        <w:rPr>
          <w:sz w:val="22"/>
          <w:szCs w:val="22"/>
        </w:rPr>
      </w:pPr>
      <w:r w:rsidRPr="00C7664F">
        <w:rPr>
          <w:sz w:val="22"/>
          <w:szCs w:val="22"/>
        </w:rPr>
        <w:t xml:space="preserve">Waste is delivered, weighed, sorted/separated if necessary, and tipped into the refuse pit shown </w:t>
      </w:r>
      <w:r>
        <w:rPr>
          <w:sz w:val="22"/>
          <w:szCs w:val="22"/>
        </w:rPr>
        <w:t xml:space="preserve">in Figure </w:t>
      </w:r>
      <w:r w:rsidR="00B63982">
        <w:rPr>
          <w:sz w:val="22"/>
          <w:szCs w:val="22"/>
        </w:rPr>
        <w:t>3</w:t>
      </w:r>
      <w:r w:rsidRPr="00C7664F">
        <w:rPr>
          <w:sz w:val="22"/>
          <w:szCs w:val="22"/>
        </w:rPr>
        <w:t xml:space="preserve">, where it is temporarily stored.  The tipping hall and refuse pit are closed buildings to minimize dust and odor releases.  The waste is mixed in the refuse pit which is designed to hold sufficient fuel for several days of combustion as waste is </w:t>
      </w:r>
      <w:r>
        <w:rPr>
          <w:sz w:val="22"/>
          <w:szCs w:val="22"/>
        </w:rPr>
        <w:t xml:space="preserve">typically </w:t>
      </w:r>
      <w:r w:rsidRPr="00C7664F">
        <w:rPr>
          <w:sz w:val="22"/>
          <w:szCs w:val="22"/>
        </w:rPr>
        <w:t xml:space="preserve">delivered during normal </w:t>
      </w:r>
      <w:r>
        <w:rPr>
          <w:sz w:val="22"/>
          <w:szCs w:val="22"/>
        </w:rPr>
        <w:t xml:space="preserve">working </w:t>
      </w:r>
      <w:r w:rsidRPr="00C7664F">
        <w:rPr>
          <w:sz w:val="22"/>
          <w:szCs w:val="22"/>
        </w:rPr>
        <w:t>hours while the plant operates “24/7”.</w:t>
      </w:r>
      <w:r>
        <w:rPr>
          <w:sz w:val="22"/>
          <w:szCs w:val="22"/>
        </w:rPr>
        <w:t xml:space="preserve">  </w:t>
      </w:r>
      <w:r w:rsidRPr="00C7664F">
        <w:rPr>
          <w:sz w:val="22"/>
          <w:szCs w:val="22"/>
        </w:rPr>
        <w:t>Air is continually extracted from the pit to maintain a negative pressure and serves as combustion air for the furnace.</w:t>
      </w:r>
    </w:p>
    <w:p w:rsidR="00EE14F8" w:rsidRDefault="00EE14F8" w:rsidP="006B0889">
      <w:pPr>
        <w:widowControl w:val="0"/>
        <w:spacing w:after="120"/>
        <w:rPr>
          <w:sz w:val="22"/>
          <w:szCs w:val="22"/>
        </w:rPr>
      </w:pPr>
      <w:r w:rsidRPr="00C7664F">
        <w:rPr>
          <w:sz w:val="22"/>
          <w:szCs w:val="22"/>
        </w:rPr>
        <w:t xml:space="preserve">A crane system lifts the waste from the refuse pit </w:t>
      </w:r>
      <w:r w:rsidR="007953D5">
        <w:rPr>
          <w:sz w:val="22"/>
          <w:szCs w:val="22"/>
        </w:rPr>
        <w:t xml:space="preserve">using the grapples shown in Figure 3 </w:t>
      </w:r>
      <w:r w:rsidRPr="00C7664F">
        <w:rPr>
          <w:sz w:val="22"/>
          <w:szCs w:val="22"/>
        </w:rPr>
        <w:t xml:space="preserve">and transports it to the feed chute, which consists of a hopper </w:t>
      </w:r>
      <w:r w:rsidRPr="00B63982">
        <w:rPr>
          <w:sz w:val="22"/>
          <w:szCs w:val="22"/>
        </w:rPr>
        <w:t xml:space="preserve">and chute.  Hydraulic-driven feed rams push the waste onto the </w:t>
      </w:r>
      <w:r w:rsidR="00E925C1">
        <w:rPr>
          <w:sz w:val="22"/>
          <w:szCs w:val="22"/>
        </w:rPr>
        <w:t xml:space="preserve">reciprocating </w:t>
      </w:r>
      <w:r w:rsidRPr="00B63982">
        <w:rPr>
          <w:sz w:val="22"/>
          <w:szCs w:val="22"/>
        </w:rPr>
        <w:t>combustion grate</w:t>
      </w:r>
      <w:r w:rsidR="00E925C1">
        <w:rPr>
          <w:sz w:val="22"/>
          <w:szCs w:val="22"/>
        </w:rPr>
        <w:t xml:space="preserve"> where is turned and burned.  Air is supplied below (underfire air) and above the grate (overfire air)</w:t>
      </w:r>
      <w:r w:rsidRPr="00B63982">
        <w:rPr>
          <w:sz w:val="22"/>
          <w:szCs w:val="22"/>
        </w:rPr>
        <w:t xml:space="preserve">.  </w:t>
      </w:r>
    </w:p>
    <w:p w:rsidR="00EE14F8" w:rsidRDefault="00EE14F8" w:rsidP="00EE14F8">
      <w:pPr>
        <w:widowControl w:val="0"/>
        <w:spacing w:after="120"/>
        <w:rPr>
          <w:sz w:val="22"/>
          <w:szCs w:val="22"/>
        </w:rPr>
      </w:pPr>
      <w:r w:rsidRPr="00EE14F8">
        <w:rPr>
          <w:sz w:val="22"/>
          <w:szCs w:val="22"/>
        </w:rPr>
        <w:t>Heat from the combustion process is used to turn water into steam</w:t>
      </w:r>
      <w:r>
        <w:rPr>
          <w:sz w:val="22"/>
          <w:szCs w:val="22"/>
        </w:rPr>
        <w:t xml:space="preserve"> (or to heat incoming air and water) through heat transfer via the furnace waterwall, superheater, economizer and air preheater.  T</w:t>
      </w:r>
      <w:r w:rsidRPr="00EE14F8">
        <w:rPr>
          <w:sz w:val="22"/>
          <w:szCs w:val="22"/>
        </w:rPr>
        <w:t xml:space="preserve">he steam then routed to a steam turbine-generator for power generation. </w:t>
      </w:r>
      <w:r w:rsidR="00A6552E">
        <w:rPr>
          <w:sz w:val="22"/>
          <w:szCs w:val="22"/>
        </w:rPr>
        <w:t xml:space="preserve"> </w:t>
      </w:r>
      <w:r w:rsidRPr="00EE14F8">
        <w:rPr>
          <w:sz w:val="22"/>
          <w:szCs w:val="22"/>
        </w:rPr>
        <w:t xml:space="preserve">The steam is then condensed </w:t>
      </w:r>
      <w:r>
        <w:rPr>
          <w:sz w:val="22"/>
          <w:szCs w:val="22"/>
        </w:rPr>
        <w:t xml:space="preserve">via a wet </w:t>
      </w:r>
      <w:r w:rsidRPr="00EE14F8">
        <w:rPr>
          <w:sz w:val="22"/>
          <w:szCs w:val="22"/>
        </w:rPr>
        <w:t>cooling tower</w:t>
      </w:r>
      <w:r>
        <w:rPr>
          <w:sz w:val="22"/>
          <w:szCs w:val="22"/>
        </w:rPr>
        <w:t xml:space="preserve"> </w:t>
      </w:r>
      <w:r w:rsidRPr="00EE14F8">
        <w:rPr>
          <w:sz w:val="22"/>
          <w:szCs w:val="22"/>
        </w:rPr>
        <w:t xml:space="preserve">and routed back to the boiler. </w:t>
      </w:r>
      <w:r>
        <w:rPr>
          <w:sz w:val="22"/>
          <w:szCs w:val="22"/>
        </w:rPr>
        <w:t xml:space="preserve"> </w:t>
      </w:r>
      <w:r w:rsidRPr="00EE14F8">
        <w:rPr>
          <w:sz w:val="22"/>
          <w:szCs w:val="22"/>
        </w:rPr>
        <w:t>Residues produced include bottom ash (which falls to the bottom of the combustion chamber), fly ash (which exits the combu</w:t>
      </w:r>
      <w:r>
        <w:rPr>
          <w:sz w:val="22"/>
          <w:szCs w:val="22"/>
        </w:rPr>
        <w:t>stion chamber with the flue gas)</w:t>
      </w:r>
      <w:r w:rsidRPr="00EE14F8">
        <w:rPr>
          <w:sz w:val="22"/>
          <w:szCs w:val="22"/>
        </w:rPr>
        <w:t xml:space="preserve">, and residue (including fly ash) from the flue gas cleaning system. </w:t>
      </w:r>
    </w:p>
    <w:p w:rsidR="00A6552E" w:rsidRPr="00EE14F8" w:rsidRDefault="00A6552E" w:rsidP="00EE14F8">
      <w:pPr>
        <w:widowControl w:val="0"/>
        <w:spacing w:after="120"/>
        <w:rPr>
          <w:sz w:val="22"/>
          <w:szCs w:val="22"/>
        </w:rPr>
      </w:pPr>
      <w:r w:rsidRPr="00A6552E">
        <w:rPr>
          <w:sz w:val="22"/>
          <w:szCs w:val="22"/>
        </w:rPr>
        <w:t>After heat recovery for electrical energy production, the exhaust gas from each furnace is further cooled by injection of water</w:t>
      </w:r>
      <w:r>
        <w:rPr>
          <w:sz w:val="22"/>
          <w:szCs w:val="22"/>
        </w:rPr>
        <w:t>.  The exhaust stream is cleaned in the air pollution control equipment described below.  The cleaned exhaust gas exits via a single 220-foot stack that contains a separate flue from each unit.</w:t>
      </w:r>
    </w:p>
    <w:p w:rsidR="006B0889" w:rsidRPr="00B63982" w:rsidRDefault="006B0889" w:rsidP="00D623D7">
      <w:pPr>
        <w:widowControl w:val="0"/>
        <w:numPr>
          <w:ilvl w:val="1"/>
          <w:numId w:val="8"/>
        </w:numPr>
        <w:tabs>
          <w:tab w:val="left" w:pos="450"/>
        </w:tabs>
        <w:spacing w:after="120"/>
        <w:ind w:left="446" w:hanging="446"/>
        <w:rPr>
          <w:b/>
          <w:bCs/>
          <w:sz w:val="22"/>
          <w:szCs w:val="22"/>
        </w:rPr>
      </w:pPr>
      <w:r w:rsidRPr="00B63982">
        <w:rPr>
          <w:b/>
          <w:bCs/>
          <w:sz w:val="22"/>
          <w:szCs w:val="22"/>
        </w:rPr>
        <w:t>Summary of Air Pollution Control Equipment</w:t>
      </w:r>
    </w:p>
    <w:p w:rsidR="006B0889" w:rsidRPr="00B63982" w:rsidRDefault="006B0889" w:rsidP="006B0889">
      <w:pPr>
        <w:autoSpaceDE w:val="0"/>
        <w:autoSpaceDN w:val="0"/>
        <w:adjustRightInd w:val="0"/>
        <w:spacing w:after="120"/>
        <w:rPr>
          <w:sz w:val="22"/>
          <w:szCs w:val="22"/>
        </w:rPr>
      </w:pPr>
      <w:r w:rsidRPr="00B63982">
        <w:rPr>
          <w:sz w:val="22"/>
          <w:szCs w:val="22"/>
        </w:rPr>
        <w:t xml:space="preserve">When originally constructed, the air pollution control measures and controls </w:t>
      </w:r>
      <w:r w:rsidR="00D913F9" w:rsidRPr="00B63982">
        <w:rPr>
          <w:sz w:val="22"/>
          <w:szCs w:val="22"/>
        </w:rPr>
        <w:t xml:space="preserve">on Units 1, 2 and 3 </w:t>
      </w:r>
      <w:r w:rsidRPr="00B63982">
        <w:rPr>
          <w:sz w:val="22"/>
          <w:szCs w:val="22"/>
        </w:rPr>
        <w:t xml:space="preserve">consisted of good combustion practices (GCP) for burning waste on the Martin GmbH grates and electrostatic precipitators (ESP) to control </w:t>
      </w:r>
      <w:r w:rsidR="00073A1F" w:rsidRPr="00B63982">
        <w:rPr>
          <w:sz w:val="22"/>
          <w:szCs w:val="22"/>
        </w:rPr>
        <w:t>particulate matter (</w:t>
      </w:r>
      <w:r w:rsidRPr="00B63982">
        <w:rPr>
          <w:sz w:val="22"/>
          <w:szCs w:val="22"/>
        </w:rPr>
        <w:t>PM</w:t>
      </w:r>
      <w:r w:rsidR="00073A1F" w:rsidRPr="00B63982">
        <w:rPr>
          <w:sz w:val="22"/>
          <w:szCs w:val="22"/>
        </w:rPr>
        <w:t>)</w:t>
      </w:r>
      <w:r w:rsidRPr="00B63982">
        <w:rPr>
          <w:sz w:val="22"/>
          <w:szCs w:val="22"/>
        </w:rPr>
        <w:t xml:space="preserve">.  In </w:t>
      </w:r>
      <w:r w:rsidR="00D913F9" w:rsidRPr="00B63982">
        <w:rPr>
          <w:sz w:val="22"/>
          <w:szCs w:val="22"/>
        </w:rPr>
        <w:t>1998</w:t>
      </w:r>
      <w:r w:rsidRPr="00B63982">
        <w:rPr>
          <w:sz w:val="22"/>
          <w:szCs w:val="22"/>
        </w:rPr>
        <w:t xml:space="preserve">, the </w:t>
      </w:r>
      <w:r w:rsidR="00D913F9" w:rsidRPr="00B63982">
        <w:rPr>
          <w:sz w:val="22"/>
          <w:szCs w:val="22"/>
        </w:rPr>
        <w:t xml:space="preserve">Department issued an air construction </w:t>
      </w:r>
      <w:r w:rsidR="00073A1F" w:rsidRPr="00B63982">
        <w:rPr>
          <w:sz w:val="22"/>
          <w:szCs w:val="22"/>
        </w:rPr>
        <w:t xml:space="preserve">permit to the </w:t>
      </w:r>
      <w:r w:rsidRPr="00B63982">
        <w:rPr>
          <w:sz w:val="22"/>
          <w:szCs w:val="22"/>
        </w:rPr>
        <w:t xml:space="preserve">County </w:t>
      </w:r>
      <w:r w:rsidR="00C70F3F">
        <w:rPr>
          <w:sz w:val="22"/>
          <w:szCs w:val="22"/>
        </w:rPr>
        <w:t xml:space="preserve">to </w:t>
      </w:r>
      <w:r w:rsidR="00073A1F" w:rsidRPr="00B63982">
        <w:rPr>
          <w:sz w:val="22"/>
          <w:szCs w:val="22"/>
        </w:rPr>
        <w:t>replac</w:t>
      </w:r>
      <w:r w:rsidR="00C70F3F">
        <w:rPr>
          <w:sz w:val="22"/>
          <w:szCs w:val="22"/>
        </w:rPr>
        <w:t xml:space="preserve">e </w:t>
      </w:r>
      <w:r w:rsidR="00073A1F" w:rsidRPr="00B63982">
        <w:rPr>
          <w:sz w:val="22"/>
          <w:szCs w:val="22"/>
        </w:rPr>
        <w:t>or add modern a</w:t>
      </w:r>
      <w:r w:rsidRPr="00B63982">
        <w:rPr>
          <w:sz w:val="22"/>
          <w:szCs w:val="22"/>
        </w:rPr>
        <w:t xml:space="preserve">ir </w:t>
      </w:r>
      <w:r w:rsidR="00073A1F" w:rsidRPr="00B63982">
        <w:rPr>
          <w:sz w:val="22"/>
          <w:szCs w:val="22"/>
        </w:rPr>
        <w:t>p</w:t>
      </w:r>
      <w:r w:rsidRPr="00B63982">
        <w:rPr>
          <w:sz w:val="22"/>
          <w:szCs w:val="22"/>
        </w:rPr>
        <w:t xml:space="preserve">ollution </w:t>
      </w:r>
      <w:r w:rsidR="00073A1F" w:rsidRPr="00B63982">
        <w:rPr>
          <w:sz w:val="22"/>
          <w:szCs w:val="22"/>
        </w:rPr>
        <w:t>control equipment</w:t>
      </w:r>
      <w:r w:rsidRPr="00B63982">
        <w:rPr>
          <w:sz w:val="22"/>
          <w:szCs w:val="22"/>
        </w:rPr>
        <w:t xml:space="preserve">. </w:t>
      </w:r>
      <w:r w:rsidR="00073A1F" w:rsidRPr="00B63982">
        <w:rPr>
          <w:sz w:val="22"/>
          <w:szCs w:val="22"/>
        </w:rPr>
        <w:t xml:space="preserve"> </w:t>
      </w:r>
      <w:hyperlink r:id="rId13" w:history="1">
        <w:r w:rsidR="00073A1F" w:rsidRPr="00B63982">
          <w:rPr>
            <w:rStyle w:val="Hyperlink"/>
            <w:sz w:val="22"/>
            <w:szCs w:val="22"/>
          </w:rPr>
          <w:t xml:space="preserve">Link to </w:t>
        </w:r>
        <w:r w:rsidR="00B63982" w:rsidRPr="00B63982">
          <w:rPr>
            <w:rStyle w:val="Hyperlink"/>
            <w:sz w:val="22"/>
            <w:szCs w:val="22"/>
          </w:rPr>
          <w:t xml:space="preserve">Units 1, 2, 3 Pollution Control Permit </w:t>
        </w:r>
      </w:hyperlink>
      <w:r w:rsidRPr="00B63982">
        <w:rPr>
          <w:sz w:val="22"/>
          <w:szCs w:val="22"/>
        </w:rPr>
        <w:t xml:space="preserve"> </w:t>
      </w:r>
    </w:p>
    <w:p w:rsidR="007E5CC1" w:rsidRDefault="00C46677" w:rsidP="00A44A15">
      <w:pPr>
        <w:spacing w:after="120"/>
      </w:pPr>
      <w:r>
        <w:rPr>
          <w:sz w:val="22"/>
          <w:szCs w:val="22"/>
        </w:rPr>
        <w:t xml:space="preserve">The purpose air pollution control project was to comply with </w:t>
      </w:r>
      <w:r w:rsidRPr="00831202">
        <w:rPr>
          <w:sz w:val="22"/>
          <w:szCs w:val="22"/>
        </w:rPr>
        <w:t>Department Rule 62-204.800(9)(b), F</w:t>
      </w:r>
      <w:r w:rsidR="00232D43">
        <w:rPr>
          <w:sz w:val="22"/>
          <w:szCs w:val="22"/>
        </w:rPr>
        <w:t>lorida Administrative Code (F</w:t>
      </w:r>
      <w:r w:rsidRPr="00831202">
        <w:rPr>
          <w:sz w:val="22"/>
          <w:szCs w:val="22"/>
        </w:rPr>
        <w:t>.A.C.</w:t>
      </w:r>
      <w:r w:rsidR="00232D43">
        <w:rPr>
          <w:sz w:val="22"/>
          <w:szCs w:val="22"/>
        </w:rPr>
        <w:t>) -</w:t>
      </w:r>
      <w:r w:rsidRPr="00831202">
        <w:rPr>
          <w:sz w:val="22"/>
          <w:szCs w:val="22"/>
        </w:rPr>
        <w:t xml:space="preserve"> the Department’s MWC Rule</w:t>
      </w:r>
      <w:r>
        <w:rPr>
          <w:sz w:val="22"/>
          <w:szCs w:val="22"/>
        </w:rPr>
        <w:t xml:space="preserve">, which is </w:t>
      </w:r>
      <w:r w:rsidRPr="00831202">
        <w:rPr>
          <w:sz w:val="22"/>
          <w:szCs w:val="22"/>
        </w:rPr>
        <w:t xml:space="preserve">based on </w:t>
      </w:r>
      <w:r w:rsidR="00232D43">
        <w:rPr>
          <w:sz w:val="22"/>
          <w:szCs w:val="22"/>
        </w:rPr>
        <w:t xml:space="preserve">Title 40, </w:t>
      </w:r>
      <w:r w:rsidRPr="00831202">
        <w:rPr>
          <w:sz w:val="22"/>
          <w:szCs w:val="22"/>
        </w:rPr>
        <w:t>C</w:t>
      </w:r>
      <w:r>
        <w:rPr>
          <w:sz w:val="22"/>
          <w:szCs w:val="22"/>
        </w:rPr>
        <w:t xml:space="preserve">ode of Federal Regulations, Part </w:t>
      </w:r>
      <w:r w:rsidRPr="00831202">
        <w:rPr>
          <w:sz w:val="22"/>
          <w:szCs w:val="22"/>
        </w:rPr>
        <w:t>60</w:t>
      </w:r>
      <w:r w:rsidR="000B07C2">
        <w:rPr>
          <w:sz w:val="22"/>
          <w:szCs w:val="22"/>
        </w:rPr>
        <w:t xml:space="preserve"> (40 CFR 60)</w:t>
      </w:r>
      <w:r w:rsidRPr="00831202">
        <w:rPr>
          <w:sz w:val="22"/>
          <w:szCs w:val="22"/>
        </w:rPr>
        <w:t>, Subpart Cb - Emissions Guidelines and Compliance Times for Large MWC That are Constructed on or Before September 20, 1994</w:t>
      </w:r>
      <w:r w:rsidR="00A44A15">
        <w:rPr>
          <w:sz w:val="22"/>
          <w:szCs w:val="22"/>
        </w:rPr>
        <w:t>.</w:t>
      </w:r>
      <w:r w:rsidR="000B07C2">
        <w:rPr>
          <w:sz w:val="22"/>
          <w:szCs w:val="22"/>
        </w:rPr>
        <w:t xml:space="preserve">  </w:t>
      </w:r>
      <w:hyperlink r:id="rId14" w:history="1">
        <w:r w:rsidR="000B07C2" w:rsidRPr="00831202">
          <w:rPr>
            <w:rStyle w:val="Hyperlink"/>
            <w:sz w:val="22"/>
            <w:szCs w:val="22"/>
          </w:rPr>
          <w:t>Link to Subpart Cb</w:t>
        </w:r>
      </w:hyperlink>
      <w:r w:rsidR="007E5CC1">
        <w:t xml:space="preserve"> </w:t>
      </w:r>
    </w:p>
    <w:p w:rsidR="006B0889" w:rsidRPr="00B63982" w:rsidRDefault="006B0889" w:rsidP="006B0889">
      <w:pPr>
        <w:autoSpaceDE w:val="0"/>
        <w:autoSpaceDN w:val="0"/>
        <w:adjustRightInd w:val="0"/>
        <w:spacing w:after="60"/>
        <w:rPr>
          <w:sz w:val="22"/>
          <w:szCs w:val="22"/>
        </w:rPr>
      </w:pPr>
      <w:r w:rsidRPr="00B63982">
        <w:rPr>
          <w:sz w:val="22"/>
          <w:szCs w:val="22"/>
        </w:rPr>
        <w:t>Th</w:t>
      </w:r>
      <w:r w:rsidR="00073A1F" w:rsidRPr="00B63982">
        <w:rPr>
          <w:sz w:val="22"/>
          <w:szCs w:val="22"/>
        </w:rPr>
        <w:t xml:space="preserve">e </w:t>
      </w:r>
      <w:r w:rsidRPr="00B63982">
        <w:rPr>
          <w:sz w:val="22"/>
          <w:szCs w:val="22"/>
        </w:rPr>
        <w:t>project replaced the original ESP on each unit with an emissions control system consisting of:</w:t>
      </w:r>
    </w:p>
    <w:p w:rsidR="00A6552E" w:rsidRDefault="00A6552E" w:rsidP="00D623D7">
      <w:pPr>
        <w:numPr>
          <w:ilvl w:val="0"/>
          <w:numId w:val="10"/>
        </w:numPr>
        <w:autoSpaceDE w:val="0"/>
        <w:autoSpaceDN w:val="0"/>
        <w:adjustRightInd w:val="0"/>
        <w:spacing w:after="60"/>
        <w:ind w:left="360"/>
        <w:rPr>
          <w:sz w:val="22"/>
          <w:szCs w:val="22"/>
        </w:rPr>
      </w:pPr>
      <w:r>
        <w:rPr>
          <w:sz w:val="22"/>
          <w:szCs w:val="22"/>
        </w:rPr>
        <w:lastRenderedPageBreak/>
        <w:t>Improved GCP features on the grate and furnace to minimize formation of nitrogen oxides (NO</w:t>
      </w:r>
      <w:r w:rsidRPr="00A6552E">
        <w:rPr>
          <w:sz w:val="22"/>
          <w:szCs w:val="22"/>
          <w:vertAlign w:val="subscript"/>
        </w:rPr>
        <w:t>X</w:t>
      </w:r>
      <w:r>
        <w:rPr>
          <w:sz w:val="22"/>
          <w:szCs w:val="22"/>
        </w:rPr>
        <w:t xml:space="preserve">) and </w:t>
      </w:r>
      <w:r w:rsidR="0027191B">
        <w:rPr>
          <w:sz w:val="22"/>
          <w:szCs w:val="22"/>
        </w:rPr>
        <w:t xml:space="preserve">promote burnout/destruction of carbon monoxide (CO) and </w:t>
      </w:r>
      <w:r>
        <w:rPr>
          <w:sz w:val="22"/>
          <w:szCs w:val="22"/>
        </w:rPr>
        <w:t>organic hazardous air pollutants (HAP) such as dioxin and furan;</w:t>
      </w:r>
    </w:p>
    <w:p w:rsidR="006B0889" w:rsidRPr="00B63982" w:rsidRDefault="00073A1F" w:rsidP="00D623D7">
      <w:pPr>
        <w:numPr>
          <w:ilvl w:val="0"/>
          <w:numId w:val="10"/>
        </w:numPr>
        <w:autoSpaceDE w:val="0"/>
        <w:autoSpaceDN w:val="0"/>
        <w:adjustRightInd w:val="0"/>
        <w:spacing w:after="60"/>
        <w:ind w:left="360"/>
        <w:rPr>
          <w:sz w:val="22"/>
          <w:szCs w:val="22"/>
        </w:rPr>
      </w:pPr>
      <w:r w:rsidRPr="00B63982">
        <w:rPr>
          <w:sz w:val="22"/>
          <w:szCs w:val="22"/>
        </w:rPr>
        <w:t xml:space="preserve">A </w:t>
      </w:r>
      <w:r w:rsidR="006B0889" w:rsidRPr="00B63982">
        <w:rPr>
          <w:sz w:val="22"/>
          <w:szCs w:val="22"/>
        </w:rPr>
        <w:t xml:space="preserve">Spray Dry Absorber (SDA) based on lime slurry injection wherein acid gases in the furnace exhaust such as </w:t>
      </w:r>
      <w:r w:rsidRPr="00B63982">
        <w:rPr>
          <w:sz w:val="22"/>
          <w:szCs w:val="22"/>
        </w:rPr>
        <w:t>hydrogen chloride (</w:t>
      </w:r>
      <w:r w:rsidR="006B0889" w:rsidRPr="00B63982">
        <w:rPr>
          <w:sz w:val="22"/>
          <w:szCs w:val="22"/>
        </w:rPr>
        <w:t>HCl</w:t>
      </w:r>
      <w:r w:rsidRPr="00B63982">
        <w:rPr>
          <w:sz w:val="22"/>
          <w:szCs w:val="22"/>
        </w:rPr>
        <w:t>)</w:t>
      </w:r>
      <w:r w:rsidR="006B0889" w:rsidRPr="00B63982">
        <w:rPr>
          <w:sz w:val="22"/>
          <w:szCs w:val="22"/>
        </w:rPr>
        <w:t xml:space="preserve"> and </w:t>
      </w:r>
      <w:r w:rsidRPr="00B63982">
        <w:rPr>
          <w:sz w:val="22"/>
          <w:szCs w:val="22"/>
        </w:rPr>
        <w:t>sulfur dioxide (</w:t>
      </w:r>
      <w:r w:rsidR="006B0889" w:rsidRPr="00B63982">
        <w:rPr>
          <w:sz w:val="22"/>
          <w:szCs w:val="22"/>
        </w:rPr>
        <w:t>SO</w:t>
      </w:r>
      <w:r w:rsidR="006B0889" w:rsidRPr="00B63982">
        <w:rPr>
          <w:sz w:val="22"/>
          <w:szCs w:val="22"/>
          <w:vertAlign w:val="subscript"/>
        </w:rPr>
        <w:t>2</w:t>
      </w:r>
      <w:r w:rsidRPr="00B63982">
        <w:rPr>
          <w:sz w:val="22"/>
          <w:szCs w:val="22"/>
        </w:rPr>
        <w:t xml:space="preserve">) </w:t>
      </w:r>
      <w:r w:rsidR="006B0889" w:rsidRPr="00B63982">
        <w:rPr>
          <w:sz w:val="22"/>
          <w:szCs w:val="22"/>
        </w:rPr>
        <w:t>are neutralized and captured as PM;</w:t>
      </w:r>
    </w:p>
    <w:p w:rsidR="006B0889" w:rsidRPr="00B63982" w:rsidRDefault="006B0889" w:rsidP="00D623D7">
      <w:pPr>
        <w:numPr>
          <w:ilvl w:val="0"/>
          <w:numId w:val="10"/>
        </w:numPr>
        <w:autoSpaceDE w:val="0"/>
        <w:autoSpaceDN w:val="0"/>
        <w:adjustRightInd w:val="0"/>
        <w:spacing w:after="60"/>
        <w:ind w:left="360"/>
        <w:rPr>
          <w:sz w:val="22"/>
          <w:szCs w:val="22"/>
        </w:rPr>
      </w:pPr>
      <w:r w:rsidRPr="00B63982">
        <w:rPr>
          <w:sz w:val="22"/>
          <w:szCs w:val="22"/>
        </w:rPr>
        <w:t xml:space="preserve">Activated Carbon Injection (ACI) to capture (adsorb) certain metals such as mercury </w:t>
      </w:r>
      <w:r w:rsidR="00073A1F" w:rsidRPr="00B63982">
        <w:rPr>
          <w:sz w:val="22"/>
          <w:szCs w:val="22"/>
        </w:rPr>
        <w:t xml:space="preserve">(Hg) </w:t>
      </w:r>
      <w:r w:rsidRPr="00B63982">
        <w:rPr>
          <w:sz w:val="22"/>
          <w:szCs w:val="22"/>
        </w:rPr>
        <w:t>and organic HAP and then remove them in the PM control device;</w:t>
      </w:r>
    </w:p>
    <w:p w:rsidR="006B0889" w:rsidRPr="00B63982" w:rsidRDefault="00073A1F" w:rsidP="00D623D7">
      <w:pPr>
        <w:numPr>
          <w:ilvl w:val="0"/>
          <w:numId w:val="10"/>
        </w:numPr>
        <w:autoSpaceDE w:val="0"/>
        <w:autoSpaceDN w:val="0"/>
        <w:adjustRightInd w:val="0"/>
        <w:spacing w:after="60"/>
        <w:ind w:left="360"/>
        <w:rPr>
          <w:sz w:val="22"/>
          <w:szCs w:val="22"/>
        </w:rPr>
      </w:pPr>
      <w:r w:rsidRPr="00B63982">
        <w:rPr>
          <w:sz w:val="22"/>
          <w:szCs w:val="22"/>
        </w:rPr>
        <w:t xml:space="preserve">A </w:t>
      </w:r>
      <w:r w:rsidR="006B0889" w:rsidRPr="00B63982">
        <w:rPr>
          <w:sz w:val="22"/>
          <w:szCs w:val="22"/>
        </w:rPr>
        <w:t>Fabric filter (FF - baghouse) to capture PM originating from combustion</w:t>
      </w:r>
      <w:r w:rsidRPr="00B63982">
        <w:rPr>
          <w:sz w:val="22"/>
          <w:szCs w:val="22"/>
        </w:rPr>
        <w:t xml:space="preserve"> </w:t>
      </w:r>
      <w:r w:rsidR="0027191B">
        <w:rPr>
          <w:sz w:val="22"/>
          <w:szCs w:val="22"/>
        </w:rPr>
        <w:t>[</w:t>
      </w:r>
      <w:r w:rsidRPr="00B63982">
        <w:rPr>
          <w:sz w:val="22"/>
          <w:szCs w:val="22"/>
        </w:rPr>
        <w:t>including PM metals such as cadmium (Cd) and lead (Pb)</w:t>
      </w:r>
      <w:r w:rsidR="0027191B">
        <w:rPr>
          <w:sz w:val="22"/>
          <w:szCs w:val="22"/>
        </w:rPr>
        <w:t xml:space="preserve">], </w:t>
      </w:r>
      <w:r w:rsidR="00B63982" w:rsidRPr="00B63982">
        <w:rPr>
          <w:sz w:val="22"/>
          <w:szCs w:val="22"/>
        </w:rPr>
        <w:t xml:space="preserve">products of the </w:t>
      </w:r>
      <w:r w:rsidR="006B0889" w:rsidRPr="00B63982">
        <w:rPr>
          <w:sz w:val="22"/>
          <w:szCs w:val="22"/>
        </w:rPr>
        <w:t>acid gas reactions</w:t>
      </w:r>
      <w:r w:rsidR="0027191B">
        <w:rPr>
          <w:sz w:val="22"/>
          <w:szCs w:val="22"/>
        </w:rPr>
        <w:t>,</w:t>
      </w:r>
      <w:r w:rsidR="006B0889" w:rsidRPr="00B63982">
        <w:rPr>
          <w:sz w:val="22"/>
          <w:szCs w:val="22"/>
        </w:rPr>
        <w:t xml:space="preserve"> and spent activated carbon; and </w:t>
      </w:r>
    </w:p>
    <w:p w:rsidR="006B0889" w:rsidRPr="00B63982" w:rsidRDefault="00073A1F" w:rsidP="00D623D7">
      <w:pPr>
        <w:numPr>
          <w:ilvl w:val="0"/>
          <w:numId w:val="10"/>
        </w:numPr>
        <w:autoSpaceDE w:val="0"/>
        <w:autoSpaceDN w:val="0"/>
        <w:adjustRightInd w:val="0"/>
        <w:spacing w:after="120"/>
        <w:ind w:left="360"/>
        <w:rPr>
          <w:sz w:val="22"/>
          <w:szCs w:val="22"/>
        </w:rPr>
      </w:pPr>
      <w:r w:rsidRPr="00B63982">
        <w:rPr>
          <w:sz w:val="22"/>
          <w:szCs w:val="22"/>
        </w:rPr>
        <w:t xml:space="preserve">A </w:t>
      </w:r>
      <w:r w:rsidR="006B0889" w:rsidRPr="00B63982">
        <w:rPr>
          <w:sz w:val="22"/>
          <w:szCs w:val="22"/>
        </w:rPr>
        <w:t xml:space="preserve">Selective Non-Catalytic Reduction (SNCR) system </w:t>
      </w:r>
      <w:r w:rsidR="009A5F37">
        <w:rPr>
          <w:sz w:val="22"/>
          <w:szCs w:val="22"/>
        </w:rPr>
        <w:t>based on ammonia (NH</w:t>
      </w:r>
      <w:r w:rsidR="009A5F37" w:rsidRPr="009A5F37">
        <w:rPr>
          <w:sz w:val="22"/>
          <w:szCs w:val="22"/>
          <w:vertAlign w:val="subscript"/>
        </w:rPr>
        <w:t>3</w:t>
      </w:r>
      <w:r w:rsidR="009A5F37">
        <w:rPr>
          <w:sz w:val="22"/>
          <w:szCs w:val="22"/>
        </w:rPr>
        <w:t xml:space="preserve">) or urea injection </w:t>
      </w:r>
      <w:r w:rsidR="006B0889" w:rsidRPr="00B63982">
        <w:rPr>
          <w:sz w:val="22"/>
          <w:szCs w:val="22"/>
        </w:rPr>
        <w:t>in</w:t>
      </w:r>
      <w:r w:rsidR="009A5F37">
        <w:rPr>
          <w:sz w:val="22"/>
          <w:szCs w:val="22"/>
        </w:rPr>
        <w:t>to</w:t>
      </w:r>
      <w:r w:rsidR="006B0889" w:rsidRPr="00B63982">
        <w:rPr>
          <w:sz w:val="22"/>
          <w:szCs w:val="22"/>
        </w:rPr>
        <w:t xml:space="preserve"> each furnace to </w:t>
      </w:r>
      <w:r w:rsidR="0027191B">
        <w:rPr>
          <w:sz w:val="22"/>
          <w:szCs w:val="22"/>
        </w:rPr>
        <w:t xml:space="preserve">further </w:t>
      </w:r>
      <w:r w:rsidR="006B0889" w:rsidRPr="00B63982">
        <w:rPr>
          <w:sz w:val="22"/>
          <w:szCs w:val="22"/>
        </w:rPr>
        <w:t xml:space="preserve">control </w:t>
      </w:r>
      <w:r w:rsidRPr="00B63982">
        <w:rPr>
          <w:sz w:val="22"/>
          <w:szCs w:val="22"/>
        </w:rPr>
        <w:t>nitrogen oxides (</w:t>
      </w:r>
      <w:r w:rsidR="006B0889" w:rsidRPr="00B63982">
        <w:rPr>
          <w:sz w:val="22"/>
          <w:szCs w:val="22"/>
        </w:rPr>
        <w:t>NO</w:t>
      </w:r>
      <w:r w:rsidR="006B0889" w:rsidRPr="00B63982">
        <w:rPr>
          <w:sz w:val="22"/>
          <w:szCs w:val="22"/>
          <w:vertAlign w:val="subscript"/>
        </w:rPr>
        <w:t>X</w:t>
      </w:r>
      <w:r w:rsidRPr="00B63982">
        <w:rPr>
          <w:sz w:val="22"/>
          <w:szCs w:val="22"/>
        </w:rPr>
        <w:t xml:space="preserve">) </w:t>
      </w:r>
      <w:r w:rsidR="006B0889" w:rsidRPr="00B63982">
        <w:rPr>
          <w:sz w:val="22"/>
          <w:szCs w:val="22"/>
        </w:rPr>
        <w:t>emissions.</w:t>
      </w:r>
    </w:p>
    <w:p w:rsidR="001C5D88" w:rsidRDefault="00073A1F" w:rsidP="001C5D88">
      <w:pPr>
        <w:spacing w:after="120"/>
        <w:rPr>
          <w:b/>
          <w:bCs/>
          <w:sz w:val="22"/>
          <w:szCs w:val="22"/>
        </w:rPr>
      </w:pPr>
      <w:r>
        <w:rPr>
          <w:sz w:val="22"/>
          <w:szCs w:val="22"/>
        </w:rPr>
        <w:t>Figure 4</w:t>
      </w:r>
      <w:r w:rsidR="006B0889">
        <w:rPr>
          <w:sz w:val="22"/>
          <w:szCs w:val="22"/>
        </w:rPr>
        <w:t xml:space="preserve"> is a diagram of the typical Martin GmbH mass burn grate stoker MWC with the air pollution control equipment configuration of GCP/SDA/FF/ACI/SNCR</w:t>
      </w:r>
      <w:r w:rsidR="00C46677">
        <w:rPr>
          <w:sz w:val="22"/>
          <w:szCs w:val="22"/>
        </w:rPr>
        <w:t xml:space="preserve"> (typical industry shorthand for this configuration)</w:t>
      </w:r>
      <w:r w:rsidR="006B0889">
        <w:rPr>
          <w:sz w:val="22"/>
          <w:szCs w:val="22"/>
        </w:rPr>
        <w:t>.</w:t>
      </w:r>
      <w:r w:rsidR="00232D43" w:rsidRPr="00232D43">
        <w:rPr>
          <w:sz w:val="22"/>
          <w:szCs w:val="22"/>
        </w:rPr>
        <w:t xml:space="preserve"> </w:t>
      </w:r>
      <w:r w:rsidR="00232D43">
        <w:rPr>
          <w:sz w:val="22"/>
          <w:szCs w:val="22"/>
        </w:rPr>
        <w:t xml:space="preserve"> </w:t>
      </w:r>
      <w:r w:rsidR="00232D43" w:rsidRPr="000B07C2">
        <w:rPr>
          <w:sz w:val="22"/>
          <w:szCs w:val="22"/>
        </w:rPr>
        <w:t xml:space="preserve">The air pollution control project resulted in significant reductions </w:t>
      </w:r>
      <w:r w:rsidR="00232D43">
        <w:rPr>
          <w:sz w:val="22"/>
          <w:szCs w:val="22"/>
        </w:rPr>
        <w:t xml:space="preserve">from Units 1, 2 and 3 </w:t>
      </w:r>
      <w:r w:rsidR="00232D43" w:rsidRPr="000B07C2">
        <w:rPr>
          <w:sz w:val="22"/>
          <w:szCs w:val="22"/>
        </w:rPr>
        <w:t xml:space="preserve">of all pollutants mentioned in the foregoing discussion.  </w:t>
      </w:r>
      <w:r w:rsidR="001C5D88">
        <w:rPr>
          <w:b/>
          <w:bCs/>
          <w:sz w:val="22"/>
          <w:szCs w:val="22"/>
        </w:rPr>
        <w:t xml:space="preserve"> </w:t>
      </w:r>
    </w:p>
    <w:p w:rsidR="001C5D88" w:rsidRDefault="00CB6032" w:rsidP="001C5D88">
      <w:pPr>
        <w:autoSpaceDE w:val="0"/>
        <w:autoSpaceDN w:val="0"/>
        <w:adjustRightInd w:val="0"/>
        <w:spacing w:after="120"/>
        <w:rPr>
          <w:color w:val="000000"/>
          <w:sz w:val="22"/>
          <w:szCs w:val="22"/>
        </w:rPr>
      </w:pPr>
      <w:r w:rsidRPr="00CB6032">
        <w:rPr>
          <w:noProof/>
          <w:sz w:val="22"/>
          <w:szCs w:val="22"/>
        </w:rPr>
        <w:pict>
          <v:group id="_x0000_s1057" style="position:absolute;margin-left:2.05pt;margin-top:3.1pt;width:479.7pt;height:259.2pt;z-index:251686400" coordorigin="1121,5393" coordsize="9594,5184">
            <v:shape id="_x0000_s1046" type="#_x0000_t202" style="position:absolute;left:3783;top:8651;width:811;height:512;mso-height-percent:200;mso-height-percent:200;mso-width-relative:margin;mso-height-relative:margin" o:regroupid="1" filled="f" stroked="f">
              <v:textbox style="mso-next-textbox:#_x0000_s1046;mso-fit-shape-to-text:t">
                <w:txbxContent>
                  <w:p w:rsidR="00373374" w:rsidRDefault="00373374" w:rsidP="001C5D88">
                    <w:pPr>
                      <w:rPr>
                        <w:rFonts w:ascii="Arial" w:hAnsi="Arial" w:cs="Arial"/>
                        <w:b/>
                        <w:sz w:val="16"/>
                        <w:szCs w:val="16"/>
                      </w:rPr>
                    </w:pPr>
                    <w:r w:rsidRPr="0076562D">
                      <w:rPr>
                        <w:rFonts w:ascii="Arial" w:hAnsi="Arial" w:cs="Arial"/>
                        <w:b/>
                        <w:sz w:val="16"/>
                        <w:szCs w:val="16"/>
                      </w:rPr>
                      <w:t>Grate</w:t>
                    </w:r>
                  </w:p>
                  <w:p w:rsidR="00373374" w:rsidRPr="0076562D" w:rsidRDefault="00373374" w:rsidP="001C5D88">
                    <w:pPr>
                      <w:rPr>
                        <w:rFonts w:ascii="Arial" w:hAnsi="Arial" w:cs="Arial"/>
                        <w:b/>
                        <w:sz w:val="16"/>
                        <w:szCs w:val="16"/>
                      </w:rPr>
                    </w:pPr>
                    <w:r>
                      <w:rPr>
                        <w:rFonts w:ascii="Arial" w:hAnsi="Arial" w:cs="Arial"/>
                        <w:b/>
                        <w:sz w:val="16"/>
                        <w:szCs w:val="16"/>
                      </w:rPr>
                      <w:t>(GCP)</w:t>
                    </w:r>
                  </w:p>
                </w:txbxContent>
              </v:textbox>
            </v:shape>
            <v:shape id="_x0000_s1047" type="#_x0000_t202" style="position:absolute;left:3777;top:8240;width:875;height:328;mso-height-percent:200;mso-height-percent:200;mso-width-relative:margin;mso-height-relative:margin" o:regroupid="1" filled="f" stroked="f">
              <v:textbox style="mso-next-textbox:#_x0000_s1047;mso-fit-shape-to-text:t">
                <w:txbxContent>
                  <w:p w:rsidR="00373374" w:rsidRPr="0076562D" w:rsidRDefault="00373374" w:rsidP="001C5D88">
                    <w:pPr>
                      <w:rPr>
                        <w:rFonts w:ascii="Arial" w:hAnsi="Arial" w:cs="Arial"/>
                        <w:b/>
                        <w:sz w:val="16"/>
                        <w:szCs w:val="16"/>
                      </w:rPr>
                    </w:pPr>
                    <w:r w:rsidRPr="0076562D">
                      <w:rPr>
                        <w:rFonts w:ascii="Arial" w:hAnsi="Arial" w:cs="Arial"/>
                        <w:b/>
                        <w:sz w:val="16"/>
                        <w:szCs w:val="16"/>
                      </w:rPr>
                      <w:t>SNCR</w:t>
                    </w:r>
                  </w:p>
                </w:txbxContent>
              </v:textbox>
            </v:shape>
            <v:shape id="_x0000_s1048" type="#_x0000_t202" style="position:absolute;left:5905;top:8089;width:1041;height:328;mso-height-percent:200;mso-height-percent:200;mso-width-relative:margin;mso-height-relative:margin" o:regroupid="1" filled="f" stroked="f">
              <v:textbox style="mso-next-textbox:#_x0000_s1048;mso-fit-shape-to-text:t">
                <w:txbxContent>
                  <w:p w:rsidR="00373374" w:rsidRPr="0076562D" w:rsidRDefault="00373374" w:rsidP="001C5D88">
                    <w:pPr>
                      <w:rPr>
                        <w:rFonts w:ascii="Arial" w:hAnsi="Arial" w:cs="Arial"/>
                        <w:b/>
                        <w:sz w:val="16"/>
                        <w:szCs w:val="16"/>
                      </w:rPr>
                    </w:pPr>
                    <w:r w:rsidRPr="0076562D">
                      <w:rPr>
                        <w:rFonts w:ascii="Arial" w:hAnsi="Arial" w:cs="Arial"/>
                        <w:b/>
                        <w:sz w:val="16"/>
                        <w:szCs w:val="16"/>
                      </w:rPr>
                      <w:t>Lime Silo</w:t>
                    </w:r>
                  </w:p>
                </w:txbxContent>
              </v:textbox>
            </v:shape>
            <v:shape id="_x0000_s1049" type="#_x0000_t202" style="position:absolute;left:1944;top:8538;width:1114;height:558;mso-height-percent:200;mso-height-percent:200;mso-width-relative:margin;mso-height-relative:margin" o:regroupid="1" filled="f" stroked="f">
              <v:textbox style="mso-next-textbox:#_x0000_s1049;mso-fit-shape-to-text:t">
                <w:txbxContent>
                  <w:p w:rsidR="00373374" w:rsidRPr="0076562D" w:rsidRDefault="00373374" w:rsidP="001C5D88">
                    <w:pPr>
                      <w:jc w:val="center"/>
                      <w:rPr>
                        <w:rFonts w:ascii="Arial" w:hAnsi="Arial" w:cs="Arial"/>
                        <w:b/>
                        <w:sz w:val="18"/>
                        <w:szCs w:val="18"/>
                      </w:rPr>
                    </w:pPr>
                    <w:r w:rsidRPr="0076562D">
                      <w:rPr>
                        <w:rFonts w:ascii="Arial" w:hAnsi="Arial" w:cs="Arial"/>
                        <w:b/>
                        <w:sz w:val="18"/>
                        <w:szCs w:val="18"/>
                      </w:rPr>
                      <w:t>Refuse</w:t>
                    </w:r>
                    <w:r w:rsidRPr="0076562D">
                      <w:rPr>
                        <w:rFonts w:ascii="Arial" w:hAnsi="Arial" w:cs="Arial"/>
                        <w:b/>
                        <w:sz w:val="18"/>
                        <w:szCs w:val="18"/>
                      </w:rPr>
                      <w:br/>
                      <w:t>Pit</w:t>
                    </w:r>
                  </w:p>
                </w:txbxContent>
              </v:textbox>
            </v:shape>
            <v:shape id="_x0000_s1050" type="#_x0000_t202" style="position:absolute;left:6415;top:10249;width:1452;height:328;mso-height-percent:200;mso-height-percent:200;mso-width-relative:margin;mso-height-relative:margin" o:regroupid="1" filled="f" stroked="f">
              <v:textbox style="mso-next-textbox:#_x0000_s1050;mso-fit-shape-to-text:t">
                <w:txbxContent>
                  <w:p w:rsidR="00373374" w:rsidRPr="0076562D" w:rsidRDefault="00373374" w:rsidP="001C5D88">
                    <w:pPr>
                      <w:rPr>
                        <w:rFonts w:ascii="Arial" w:hAnsi="Arial" w:cs="Arial"/>
                        <w:b/>
                        <w:sz w:val="16"/>
                        <w:szCs w:val="16"/>
                      </w:rPr>
                    </w:pPr>
                    <w:r w:rsidRPr="0076562D">
                      <w:rPr>
                        <w:rFonts w:ascii="Arial" w:hAnsi="Arial" w:cs="Arial"/>
                        <w:b/>
                        <w:sz w:val="16"/>
                        <w:szCs w:val="16"/>
                      </w:rPr>
                      <w:t>Carbon Silo</w:t>
                    </w:r>
                  </w:p>
                </w:txbxContent>
              </v:textbox>
            </v:shape>
            <v:shape id="_x0000_s1051" type="#_x0000_t202" style="position:absolute;left:6402;top:7039;width:2316;height:351;mso-height-percent:200;mso-height-percent:200;mso-width-relative:margin;mso-height-relative:margin" o:regroupid="1" filled="f" stroked="f">
              <v:textbox style="mso-next-textbox:#_x0000_s1051;mso-fit-shape-to-text:t">
                <w:txbxContent>
                  <w:p w:rsidR="00373374" w:rsidRPr="0076562D" w:rsidRDefault="00373374" w:rsidP="001C5D88">
                    <w:pPr>
                      <w:rPr>
                        <w:sz w:val="18"/>
                        <w:szCs w:val="18"/>
                      </w:rPr>
                    </w:pPr>
                    <w:r w:rsidRPr="0076562D">
                      <w:rPr>
                        <w:rFonts w:ascii="Arial" w:hAnsi="Arial" w:cs="Arial"/>
                        <w:b/>
                        <w:color w:val="000000"/>
                        <w:sz w:val="18"/>
                        <w:szCs w:val="18"/>
                      </w:rPr>
                      <w:t>Spray Dryer Absorber</w:t>
                    </w:r>
                  </w:p>
                </w:txbxContent>
              </v:textbox>
            </v:shape>
            <v:shape id="_x0000_s1052" type="#_x0000_t202" style="position:absolute;left:4719;top:10249;width:2064;height:328;mso-height-percent:200;mso-height-percent:200;mso-width-relative:margin;mso-height-relative:margin" o:regroupid="1" filled="f" stroked="f">
              <v:textbox style="mso-next-textbox:#_x0000_s1052;mso-fit-shape-to-text:t">
                <w:txbxContent>
                  <w:p w:rsidR="00373374" w:rsidRPr="0076562D" w:rsidRDefault="00373374" w:rsidP="001C5D88">
                    <w:pPr>
                      <w:rPr>
                        <w:rFonts w:ascii="Arial" w:hAnsi="Arial" w:cs="Arial"/>
                        <w:b/>
                        <w:sz w:val="16"/>
                        <w:szCs w:val="16"/>
                      </w:rPr>
                    </w:pPr>
                    <w:r>
                      <w:rPr>
                        <w:rFonts w:ascii="Arial" w:hAnsi="Arial" w:cs="Arial"/>
                        <w:b/>
                        <w:sz w:val="16"/>
                        <w:szCs w:val="16"/>
                      </w:rPr>
                      <w:t>Urea or NH3 Tank</w:t>
                    </w:r>
                  </w:p>
                </w:txbxContent>
              </v:textbox>
            </v:shape>
            <v:shape id="_x0000_s1053" type="#_x0000_t202" style="position:absolute;left:7959;top:8226;width:2366;height:351;mso-height-percent:200;mso-height-percent:200;mso-width-relative:margin;mso-height-relative:margin" o:regroupid="1" filled="f" stroked="f">
              <v:textbox style="mso-next-textbox:#_x0000_s1053;mso-fit-shape-to-text:t">
                <w:txbxContent>
                  <w:p w:rsidR="00373374" w:rsidRPr="0076562D" w:rsidRDefault="00373374" w:rsidP="001C5D88">
                    <w:pPr>
                      <w:rPr>
                        <w:rFonts w:ascii="Arial" w:hAnsi="Arial" w:cs="Arial"/>
                        <w:b/>
                        <w:color w:val="000000"/>
                        <w:sz w:val="18"/>
                        <w:szCs w:val="18"/>
                      </w:rPr>
                    </w:pPr>
                    <w:r w:rsidRPr="0076562D">
                      <w:rPr>
                        <w:rFonts w:ascii="Arial" w:hAnsi="Arial" w:cs="Arial"/>
                        <w:b/>
                        <w:color w:val="000000"/>
                        <w:sz w:val="18"/>
                        <w:szCs w:val="18"/>
                      </w:rPr>
                      <w:t>Fabric Filter (Baghouse)</w:t>
                    </w:r>
                  </w:p>
                </w:txbxContent>
              </v:textbox>
            </v:shape>
            <v:shape id="_x0000_s1054" type="#_x0000_t202" style="position:absolute;left:7959;top:5393;width:2554;height:328;mso-height-percent:200;mso-height-percent:200;mso-width-relative:margin;mso-height-relative:margin" o:regroupid="1" filled="f" stroked="f">
              <v:textbox style="mso-next-textbox:#_x0000_s1054;mso-fit-shape-to-text:t">
                <w:txbxContent>
                  <w:p w:rsidR="00373374" w:rsidRPr="0076562D" w:rsidRDefault="00373374" w:rsidP="001C5D88">
                    <w:pPr>
                      <w:jc w:val="center"/>
                      <w:rPr>
                        <w:rFonts w:ascii="Arial" w:hAnsi="Arial" w:cs="Arial"/>
                        <w:b/>
                        <w:sz w:val="16"/>
                        <w:szCs w:val="16"/>
                      </w:rPr>
                    </w:pPr>
                    <w:r>
                      <w:rPr>
                        <w:rFonts w:ascii="Arial" w:hAnsi="Arial" w:cs="Arial"/>
                        <w:b/>
                        <w:sz w:val="16"/>
                        <w:szCs w:val="16"/>
                      </w:rPr>
                      <w:t>Cooling Tower</w:t>
                    </w:r>
                  </w:p>
                </w:txbxContent>
              </v:textbox>
            </v:shape>
            <v:shape id="_x0000_s1055" type="#_x0000_t202" style="position:absolute;left:8850;top:7039;width:1865;height:351;mso-height-percent:200;mso-height-percent:200;mso-width-relative:margin;mso-height-relative:margin" o:regroupid="1" filled="f" stroked="f">
              <v:textbox style="mso-next-textbox:#_x0000_s1055;mso-fit-shape-to-text:t">
                <w:txbxContent>
                  <w:p w:rsidR="00373374" w:rsidRPr="0076562D" w:rsidRDefault="00373374" w:rsidP="001C5D88">
                    <w:pPr>
                      <w:rPr>
                        <w:sz w:val="18"/>
                        <w:szCs w:val="18"/>
                      </w:rPr>
                    </w:pPr>
                    <w:r>
                      <w:rPr>
                        <w:rFonts w:ascii="Arial" w:hAnsi="Arial" w:cs="Arial"/>
                        <w:b/>
                        <w:color w:val="000000"/>
                        <w:sz w:val="18"/>
                        <w:szCs w:val="18"/>
                      </w:rPr>
                      <w:t>Multi</w:t>
                    </w:r>
                    <w:r w:rsidRPr="0076562D">
                      <w:rPr>
                        <w:rFonts w:ascii="Arial" w:hAnsi="Arial" w:cs="Arial"/>
                        <w:b/>
                        <w:color w:val="000000"/>
                        <w:sz w:val="18"/>
                        <w:szCs w:val="18"/>
                      </w:rPr>
                      <w:t>-Flue Stack</w:t>
                    </w:r>
                  </w:p>
                </w:txbxContent>
              </v:textbox>
            </v:shape>
            <v:shape id="_x0000_s1056" type="#_x0000_t202" style="position:absolute;left:1121;top:9620;width:892;height:512;mso-height-percent:200;mso-height-percent:200;mso-width-relative:margin;mso-height-relative:margin" o:regroupid="1" filled="f" stroked="f">
              <v:textbox style="mso-next-textbox:#_x0000_s1056;mso-fit-shape-to-text:t">
                <w:txbxContent>
                  <w:p w:rsidR="00373374" w:rsidRPr="0076562D" w:rsidRDefault="00373374" w:rsidP="001C5D88">
                    <w:pPr>
                      <w:jc w:val="center"/>
                      <w:rPr>
                        <w:rFonts w:ascii="Arial" w:hAnsi="Arial" w:cs="Arial"/>
                        <w:b/>
                        <w:sz w:val="16"/>
                        <w:szCs w:val="16"/>
                      </w:rPr>
                    </w:pPr>
                    <w:r>
                      <w:rPr>
                        <w:rFonts w:ascii="Arial" w:hAnsi="Arial" w:cs="Arial"/>
                        <w:b/>
                        <w:sz w:val="16"/>
                        <w:szCs w:val="16"/>
                      </w:rPr>
                      <w:t>Tipping</w:t>
                    </w:r>
                    <w:r>
                      <w:rPr>
                        <w:rFonts w:ascii="Arial" w:hAnsi="Arial" w:cs="Arial"/>
                        <w:b/>
                        <w:sz w:val="16"/>
                        <w:szCs w:val="16"/>
                      </w:rPr>
                      <w:br/>
                      <w:t>Floor</w:t>
                    </w:r>
                  </w:p>
                </w:txbxContent>
              </v:textbox>
            </v:shape>
          </v:group>
        </w:pict>
      </w:r>
      <w:r w:rsidR="001C5D88">
        <w:rPr>
          <w:noProof/>
          <w:color w:val="000000"/>
          <w:sz w:val="22"/>
          <w:szCs w:val="22"/>
        </w:rPr>
        <w:drawing>
          <wp:inline distT="0" distB="0" distL="0" distR="0">
            <wp:extent cx="6305550" cy="3262630"/>
            <wp:effectExtent l="19050" t="19050" r="19050" b="1397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6305550" cy="3262630"/>
                    </a:xfrm>
                    <a:prstGeom prst="rect">
                      <a:avLst/>
                    </a:prstGeom>
                    <a:noFill/>
                    <a:ln w="19050" cmpd="sng">
                      <a:solidFill>
                        <a:srgbClr val="000000"/>
                      </a:solidFill>
                      <a:miter lim="800000"/>
                      <a:headEnd/>
                      <a:tailEnd/>
                    </a:ln>
                    <a:effectLst/>
                  </pic:spPr>
                </pic:pic>
              </a:graphicData>
            </a:graphic>
          </wp:inline>
        </w:drawing>
      </w:r>
    </w:p>
    <w:p w:rsidR="001C5D88" w:rsidRPr="00831202" w:rsidRDefault="001C5D88" w:rsidP="001C5D88">
      <w:pPr>
        <w:pStyle w:val="Header"/>
        <w:spacing w:after="120"/>
        <w:rPr>
          <w:b/>
          <w:sz w:val="22"/>
          <w:szCs w:val="22"/>
        </w:rPr>
      </w:pPr>
      <w:proofErr w:type="gramStart"/>
      <w:r w:rsidRPr="00831202">
        <w:rPr>
          <w:b/>
          <w:sz w:val="22"/>
          <w:szCs w:val="22"/>
        </w:rPr>
        <w:t xml:space="preserve">Figure </w:t>
      </w:r>
      <w:r w:rsidR="00467307">
        <w:rPr>
          <w:b/>
          <w:sz w:val="22"/>
          <w:szCs w:val="22"/>
        </w:rPr>
        <w:t>4</w:t>
      </w:r>
      <w:r w:rsidRPr="00831202">
        <w:rPr>
          <w:b/>
          <w:sz w:val="22"/>
          <w:szCs w:val="22"/>
        </w:rPr>
        <w:t>.</w:t>
      </w:r>
      <w:proofErr w:type="gramEnd"/>
      <w:r w:rsidRPr="00831202">
        <w:rPr>
          <w:b/>
          <w:sz w:val="22"/>
          <w:szCs w:val="22"/>
        </w:rPr>
        <w:t xml:space="preserve">  Process Diagram </w:t>
      </w:r>
      <w:r>
        <w:rPr>
          <w:b/>
          <w:bCs/>
          <w:sz w:val="22"/>
          <w:szCs w:val="22"/>
        </w:rPr>
        <w:t>Martin GmbH Mass Burn MWC with GCP/SDA/FF/ACI/SNCR Configuration</w:t>
      </w:r>
    </w:p>
    <w:p w:rsidR="00790D0A" w:rsidRDefault="001C5D88" w:rsidP="007E5CC1">
      <w:pPr>
        <w:spacing w:after="120"/>
        <w:ind w:right="-90"/>
        <w:outlineLvl w:val="0"/>
        <w:rPr>
          <w:color w:val="000000"/>
          <w:szCs w:val="22"/>
        </w:rPr>
      </w:pPr>
      <w:r w:rsidRPr="000B07C2">
        <w:rPr>
          <w:sz w:val="22"/>
          <w:szCs w:val="22"/>
        </w:rPr>
        <w:t xml:space="preserve">Unit 4 was permitted in 2006 with the same </w:t>
      </w:r>
      <w:r w:rsidR="000B07C2" w:rsidRPr="000B07C2">
        <w:rPr>
          <w:sz w:val="22"/>
          <w:szCs w:val="22"/>
        </w:rPr>
        <w:t xml:space="preserve">basic </w:t>
      </w:r>
      <w:r w:rsidRPr="000B07C2">
        <w:rPr>
          <w:sz w:val="22"/>
          <w:szCs w:val="22"/>
        </w:rPr>
        <w:t>control equipment configuration as Units 1, 2 and 3</w:t>
      </w:r>
      <w:r w:rsidR="000B07C2" w:rsidRPr="000B07C2">
        <w:rPr>
          <w:sz w:val="22"/>
          <w:szCs w:val="22"/>
        </w:rPr>
        <w:t xml:space="preserve"> but with the more stringent emission standards of a modern best available control technology (BACT) determination</w:t>
      </w:r>
      <w:r w:rsidR="00232D43">
        <w:rPr>
          <w:sz w:val="22"/>
          <w:szCs w:val="22"/>
        </w:rPr>
        <w:t xml:space="preserve">.  </w:t>
      </w:r>
      <w:r w:rsidR="00232D43">
        <w:rPr>
          <w:sz w:val="22"/>
          <w:szCs w:val="22"/>
        </w:rPr>
        <w:br/>
      </w:r>
      <w:hyperlink r:id="rId16" w:history="1">
        <w:r w:rsidR="00232D43" w:rsidRPr="001C5D88">
          <w:rPr>
            <w:rStyle w:val="Hyperlink"/>
            <w:sz w:val="22"/>
            <w:szCs w:val="22"/>
          </w:rPr>
          <w:t>Link to Unit 4 Permit</w:t>
        </w:r>
      </w:hyperlink>
      <w:r w:rsidR="00232D43" w:rsidRPr="001C5D88">
        <w:rPr>
          <w:sz w:val="22"/>
          <w:szCs w:val="22"/>
        </w:rPr>
        <w:t xml:space="preserve">  </w:t>
      </w:r>
      <w:r w:rsidR="00232D43">
        <w:rPr>
          <w:sz w:val="22"/>
          <w:szCs w:val="22"/>
        </w:rPr>
        <w:t xml:space="preserve">It was also </w:t>
      </w:r>
      <w:r w:rsidR="000B07C2" w:rsidRPr="000B07C2">
        <w:rPr>
          <w:sz w:val="22"/>
          <w:szCs w:val="22"/>
        </w:rPr>
        <w:t xml:space="preserve">subject to </w:t>
      </w:r>
      <w:r w:rsidR="00232D43">
        <w:rPr>
          <w:sz w:val="22"/>
          <w:szCs w:val="22"/>
        </w:rPr>
        <w:t xml:space="preserve">very </w:t>
      </w:r>
      <w:r w:rsidR="000B07C2" w:rsidRPr="000B07C2">
        <w:rPr>
          <w:sz w:val="22"/>
          <w:szCs w:val="22"/>
        </w:rPr>
        <w:t xml:space="preserve">stringent requirements of 40 CFR 60, Subpart Eb - </w:t>
      </w:r>
      <w:r w:rsidR="000B07C2" w:rsidRPr="000B07C2">
        <w:rPr>
          <w:bCs/>
          <w:sz w:val="22"/>
          <w:szCs w:val="22"/>
        </w:rPr>
        <w:t>Standards of Performance for Large Municipal Waste Combustors for Which Construction is Commenced After September 20, 1994</w:t>
      </w:r>
      <w:r w:rsidR="000B07C2">
        <w:rPr>
          <w:bCs/>
          <w:sz w:val="22"/>
          <w:szCs w:val="22"/>
        </w:rPr>
        <w:t xml:space="preserve">.  </w:t>
      </w:r>
      <w:hyperlink r:id="rId17" w:history="1">
        <w:r w:rsidR="000B07C2" w:rsidRPr="00831202">
          <w:rPr>
            <w:rStyle w:val="Hyperlink"/>
            <w:sz w:val="22"/>
            <w:szCs w:val="22"/>
          </w:rPr>
          <w:t>Link to Subpart Eb</w:t>
        </w:r>
      </w:hyperlink>
      <w:r w:rsidR="007E5CC1">
        <w:t xml:space="preserve">  </w:t>
      </w:r>
      <w:r w:rsidR="00A8125A">
        <w:rPr>
          <w:color w:val="000000"/>
          <w:szCs w:val="22"/>
        </w:rPr>
        <w:t xml:space="preserve">The </w:t>
      </w:r>
      <w:r w:rsidR="00232D43">
        <w:rPr>
          <w:color w:val="000000"/>
          <w:szCs w:val="22"/>
        </w:rPr>
        <w:t>four units are</w:t>
      </w:r>
      <w:r w:rsidR="00A8125A">
        <w:rPr>
          <w:color w:val="000000"/>
          <w:szCs w:val="22"/>
        </w:rPr>
        <w:t xml:space="preserve"> equipped with continuous emission and opacity monitoring systems (CEMS and COMS) </w:t>
      </w:r>
      <w:r w:rsidR="0027191B">
        <w:rPr>
          <w:color w:val="000000"/>
          <w:szCs w:val="22"/>
        </w:rPr>
        <w:t xml:space="preserve">for </w:t>
      </w:r>
      <w:r w:rsidR="00A8125A">
        <w:rPr>
          <w:color w:val="000000"/>
          <w:szCs w:val="22"/>
        </w:rPr>
        <w:t>CO, SO</w:t>
      </w:r>
      <w:r w:rsidR="00A8125A" w:rsidRPr="00EA19B7">
        <w:rPr>
          <w:color w:val="000000"/>
          <w:szCs w:val="22"/>
          <w:vertAlign w:val="subscript"/>
        </w:rPr>
        <w:t>2</w:t>
      </w:r>
      <w:r w:rsidR="00A8125A">
        <w:rPr>
          <w:color w:val="000000"/>
          <w:szCs w:val="22"/>
        </w:rPr>
        <w:t>, NO</w:t>
      </w:r>
      <w:r w:rsidR="00A8125A" w:rsidRPr="00EA19B7">
        <w:rPr>
          <w:color w:val="000000"/>
          <w:szCs w:val="22"/>
          <w:vertAlign w:val="subscript"/>
        </w:rPr>
        <w:t>X</w:t>
      </w:r>
      <w:r w:rsidR="00A8125A">
        <w:rPr>
          <w:color w:val="000000"/>
          <w:szCs w:val="22"/>
        </w:rPr>
        <w:t xml:space="preserve">, and visible emissions.  Annual stack testing is required for </w:t>
      </w:r>
      <w:r w:rsidR="0027191B">
        <w:rPr>
          <w:color w:val="000000"/>
          <w:szCs w:val="22"/>
        </w:rPr>
        <w:t>PM</w:t>
      </w:r>
      <w:r w:rsidR="00A8125A">
        <w:rPr>
          <w:color w:val="000000"/>
          <w:szCs w:val="22"/>
        </w:rPr>
        <w:t xml:space="preserve">, HCl, </w:t>
      </w:r>
      <w:r w:rsidR="0027191B">
        <w:rPr>
          <w:color w:val="000000"/>
          <w:szCs w:val="22"/>
        </w:rPr>
        <w:t>mercury</w:t>
      </w:r>
      <w:r w:rsidR="00A8125A">
        <w:rPr>
          <w:color w:val="000000"/>
          <w:szCs w:val="22"/>
        </w:rPr>
        <w:t>, dioxin/furan, cadmium and lead.</w:t>
      </w:r>
    </w:p>
    <w:p w:rsidR="0027191B" w:rsidRDefault="00917843" w:rsidP="00D623D7">
      <w:pPr>
        <w:widowControl w:val="0"/>
        <w:numPr>
          <w:ilvl w:val="1"/>
          <w:numId w:val="8"/>
        </w:numPr>
        <w:tabs>
          <w:tab w:val="left" w:pos="450"/>
        </w:tabs>
        <w:spacing w:after="120"/>
        <w:ind w:left="446" w:hanging="446"/>
        <w:rPr>
          <w:b/>
          <w:bCs/>
          <w:sz w:val="22"/>
          <w:szCs w:val="22"/>
        </w:rPr>
      </w:pPr>
      <w:r>
        <w:rPr>
          <w:b/>
          <w:bCs/>
          <w:sz w:val="22"/>
          <w:szCs w:val="22"/>
        </w:rPr>
        <w:t xml:space="preserve">Process </w:t>
      </w:r>
      <w:r w:rsidR="007B697C">
        <w:rPr>
          <w:b/>
          <w:bCs/>
          <w:sz w:val="22"/>
          <w:szCs w:val="22"/>
        </w:rPr>
        <w:t xml:space="preserve">Limits and </w:t>
      </w:r>
      <w:r w:rsidR="00EA1427">
        <w:rPr>
          <w:b/>
          <w:bCs/>
          <w:sz w:val="22"/>
          <w:szCs w:val="22"/>
        </w:rPr>
        <w:t>Waste Characteristics</w:t>
      </w:r>
    </w:p>
    <w:p w:rsidR="001F5223" w:rsidRDefault="00C46677" w:rsidP="00786E12">
      <w:pPr>
        <w:widowControl w:val="0"/>
        <w:tabs>
          <w:tab w:val="left" w:pos="450"/>
        </w:tabs>
        <w:spacing w:after="120"/>
        <w:rPr>
          <w:bCs/>
          <w:sz w:val="22"/>
          <w:szCs w:val="22"/>
        </w:rPr>
      </w:pPr>
      <w:r>
        <w:rPr>
          <w:bCs/>
          <w:sz w:val="22"/>
          <w:szCs w:val="22"/>
        </w:rPr>
        <w:t>The 199</w:t>
      </w:r>
      <w:r w:rsidR="00232D43">
        <w:rPr>
          <w:bCs/>
          <w:sz w:val="22"/>
          <w:szCs w:val="22"/>
        </w:rPr>
        <w:t xml:space="preserve">8 permit </w:t>
      </w:r>
      <w:r w:rsidR="00C91DCE">
        <w:rPr>
          <w:bCs/>
          <w:sz w:val="22"/>
          <w:szCs w:val="22"/>
        </w:rPr>
        <w:t>(PS</w:t>
      </w:r>
      <w:r w:rsidR="00232D43">
        <w:rPr>
          <w:bCs/>
          <w:sz w:val="22"/>
          <w:szCs w:val="22"/>
        </w:rPr>
        <w:t xml:space="preserve">D-FL-121B) replaced two key permits issued in 1986 and 1987 </w:t>
      </w:r>
      <w:r w:rsidR="00800D9D">
        <w:rPr>
          <w:bCs/>
          <w:sz w:val="22"/>
          <w:szCs w:val="22"/>
        </w:rPr>
        <w:t xml:space="preserve">for Units 1, 2 and 3 </w:t>
      </w:r>
      <w:r w:rsidR="00232D43">
        <w:rPr>
          <w:bCs/>
          <w:sz w:val="22"/>
          <w:szCs w:val="22"/>
        </w:rPr>
        <w:t xml:space="preserve">that were issued pursuant to the rules for the Prevention of Significant Deterioration (PSD) at 40 CFR 52.21 and Rule </w:t>
      </w:r>
      <w:r w:rsidR="00C91DCE">
        <w:rPr>
          <w:bCs/>
          <w:sz w:val="22"/>
          <w:szCs w:val="22"/>
        </w:rPr>
        <w:br/>
      </w:r>
      <w:r w:rsidR="00232D43">
        <w:rPr>
          <w:bCs/>
          <w:sz w:val="22"/>
          <w:szCs w:val="22"/>
        </w:rPr>
        <w:t>62-212.400, F.A.C. (PSD-FL-104 and PSD-FL-121)</w:t>
      </w:r>
      <w:r w:rsidR="00800D9D">
        <w:rPr>
          <w:bCs/>
          <w:sz w:val="22"/>
          <w:szCs w:val="22"/>
        </w:rPr>
        <w:t xml:space="preserve">.  </w:t>
      </w:r>
      <w:r w:rsidR="001F5223">
        <w:rPr>
          <w:bCs/>
          <w:sz w:val="22"/>
          <w:szCs w:val="22"/>
        </w:rPr>
        <w:t>The three MWC’s were described in the following table reproduced from that permit:</w:t>
      </w:r>
    </w:p>
    <w:tbl>
      <w:tblPr>
        <w:tblW w:w="10224"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tblPr>
      <w:tblGrid>
        <w:gridCol w:w="2214"/>
        <w:gridCol w:w="8010"/>
      </w:tblGrid>
      <w:tr w:rsidR="001F5223" w:rsidRPr="003B39C1" w:rsidTr="00701AC1">
        <w:tc>
          <w:tcPr>
            <w:tcW w:w="2214" w:type="dxa"/>
          </w:tcPr>
          <w:p w:rsidR="001F5223" w:rsidRPr="003B39C1" w:rsidRDefault="001F5223" w:rsidP="007D6C66">
            <w:pPr>
              <w:ind w:left="-108"/>
              <w:jc w:val="center"/>
              <w:rPr>
                <w:b/>
                <w:szCs w:val="22"/>
              </w:rPr>
            </w:pPr>
            <w:r w:rsidRPr="003B39C1">
              <w:rPr>
                <w:szCs w:val="22"/>
              </w:rPr>
              <w:lastRenderedPageBreak/>
              <w:br w:type="page"/>
            </w:r>
            <w:r w:rsidRPr="003B39C1">
              <w:rPr>
                <w:szCs w:val="22"/>
              </w:rPr>
              <w:br w:type="page"/>
            </w:r>
            <w:r w:rsidRPr="003B39C1">
              <w:rPr>
                <w:b/>
                <w:szCs w:val="22"/>
              </w:rPr>
              <w:t>E</w:t>
            </w:r>
            <w:r>
              <w:rPr>
                <w:b/>
                <w:szCs w:val="22"/>
              </w:rPr>
              <w:t xml:space="preserve">MISSIONS </w:t>
            </w:r>
            <w:r w:rsidRPr="003B39C1">
              <w:rPr>
                <w:b/>
                <w:szCs w:val="22"/>
              </w:rPr>
              <w:t>U</w:t>
            </w:r>
            <w:r>
              <w:rPr>
                <w:b/>
                <w:szCs w:val="22"/>
              </w:rPr>
              <w:t xml:space="preserve">NIT </w:t>
            </w:r>
            <w:r w:rsidRPr="003B39C1">
              <w:rPr>
                <w:b/>
                <w:szCs w:val="22"/>
              </w:rPr>
              <w:t>No.</w:t>
            </w:r>
          </w:p>
        </w:tc>
        <w:tc>
          <w:tcPr>
            <w:tcW w:w="8010" w:type="dxa"/>
          </w:tcPr>
          <w:p w:rsidR="001F5223" w:rsidRPr="003B39C1" w:rsidRDefault="001F5223" w:rsidP="007D6C66">
            <w:pPr>
              <w:ind w:left="-72"/>
              <w:jc w:val="center"/>
              <w:rPr>
                <w:b/>
                <w:szCs w:val="22"/>
              </w:rPr>
            </w:pPr>
            <w:r>
              <w:rPr>
                <w:b/>
                <w:szCs w:val="22"/>
              </w:rPr>
              <w:t>EMISSIONS UNITS DESCRIPTION</w:t>
            </w:r>
          </w:p>
        </w:tc>
      </w:tr>
      <w:tr w:rsidR="001F5223" w:rsidRPr="00C70DE1" w:rsidTr="00701AC1">
        <w:tc>
          <w:tcPr>
            <w:tcW w:w="2214" w:type="dxa"/>
          </w:tcPr>
          <w:p w:rsidR="001F5223" w:rsidRPr="007D6C66" w:rsidRDefault="001F5223" w:rsidP="007B697C">
            <w:pPr>
              <w:jc w:val="center"/>
              <w:rPr>
                <w:sz w:val="22"/>
                <w:szCs w:val="22"/>
              </w:rPr>
            </w:pPr>
            <w:r w:rsidRPr="007D6C66">
              <w:rPr>
                <w:sz w:val="22"/>
                <w:szCs w:val="22"/>
              </w:rPr>
              <w:t>001</w:t>
            </w:r>
          </w:p>
        </w:tc>
        <w:tc>
          <w:tcPr>
            <w:tcW w:w="8010" w:type="dxa"/>
          </w:tcPr>
          <w:p w:rsidR="001F5223" w:rsidRPr="007D6C66" w:rsidRDefault="001F5223" w:rsidP="007D6C66">
            <w:pPr>
              <w:tabs>
                <w:tab w:val="left" w:pos="360"/>
                <w:tab w:val="left" w:pos="720"/>
                <w:tab w:val="left" w:pos="1080"/>
                <w:tab w:val="left" w:pos="1440"/>
                <w:tab w:val="right" w:pos="10080"/>
              </w:tabs>
              <w:ind w:left="-72"/>
              <w:rPr>
                <w:sz w:val="22"/>
                <w:szCs w:val="22"/>
                <w:highlight w:val="green"/>
              </w:rPr>
            </w:pPr>
            <w:r w:rsidRPr="007D6C66">
              <w:rPr>
                <w:sz w:val="22"/>
                <w:szCs w:val="22"/>
              </w:rPr>
              <w:t>150 MMBtu/hr (nominal) Municipal Waste Combustor &amp; Auxiliary Burners</w:t>
            </w:r>
            <w:r w:rsidR="007D6C66">
              <w:rPr>
                <w:sz w:val="22"/>
                <w:szCs w:val="22"/>
              </w:rPr>
              <w:t>–</w:t>
            </w:r>
            <w:r w:rsidRPr="007D6C66">
              <w:rPr>
                <w:sz w:val="22"/>
                <w:szCs w:val="22"/>
              </w:rPr>
              <w:t>Unit No. 1</w:t>
            </w:r>
          </w:p>
        </w:tc>
      </w:tr>
      <w:tr w:rsidR="001F5223" w:rsidRPr="00C70DE1" w:rsidTr="00701AC1">
        <w:tc>
          <w:tcPr>
            <w:tcW w:w="2214" w:type="dxa"/>
          </w:tcPr>
          <w:p w:rsidR="001F5223" w:rsidRPr="007D6C66" w:rsidRDefault="001F5223" w:rsidP="007B697C">
            <w:pPr>
              <w:jc w:val="center"/>
              <w:rPr>
                <w:sz w:val="22"/>
                <w:szCs w:val="22"/>
              </w:rPr>
            </w:pPr>
            <w:r w:rsidRPr="007D6C66">
              <w:rPr>
                <w:sz w:val="22"/>
                <w:szCs w:val="22"/>
              </w:rPr>
              <w:t>002</w:t>
            </w:r>
          </w:p>
        </w:tc>
        <w:tc>
          <w:tcPr>
            <w:tcW w:w="8010" w:type="dxa"/>
          </w:tcPr>
          <w:p w:rsidR="001F5223" w:rsidRPr="007D6C66" w:rsidRDefault="001F5223" w:rsidP="007D6C66">
            <w:pPr>
              <w:tabs>
                <w:tab w:val="left" w:pos="360"/>
                <w:tab w:val="left" w:pos="720"/>
                <w:tab w:val="left" w:pos="1080"/>
                <w:tab w:val="left" w:pos="1440"/>
                <w:tab w:val="right" w:pos="10080"/>
              </w:tabs>
              <w:ind w:left="-72"/>
              <w:rPr>
                <w:sz w:val="22"/>
                <w:szCs w:val="22"/>
                <w:highlight w:val="green"/>
              </w:rPr>
            </w:pPr>
            <w:r w:rsidRPr="007D6C66">
              <w:rPr>
                <w:sz w:val="22"/>
                <w:szCs w:val="22"/>
              </w:rPr>
              <w:t>150 MMBtu/hr (nominal) Municipal Waste Combustor &amp; Auxiliary Burners–Unit No. 2</w:t>
            </w:r>
          </w:p>
        </w:tc>
      </w:tr>
      <w:tr w:rsidR="001F5223" w:rsidRPr="00C70DE1" w:rsidTr="00701AC1">
        <w:tc>
          <w:tcPr>
            <w:tcW w:w="2214" w:type="dxa"/>
          </w:tcPr>
          <w:p w:rsidR="001F5223" w:rsidRPr="007D6C66" w:rsidRDefault="001F5223" w:rsidP="007B697C">
            <w:pPr>
              <w:jc w:val="center"/>
              <w:rPr>
                <w:sz w:val="22"/>
                <w:szCs w:val="22"/>
              </w:rPr>
            </w:pPr>
            <w:r w:rsidRPr="007D6C66">
              <w:rPr>
                <w:color w:val="000000"/>
                <w:sz w:val="22"/>
                <w:szCs w:val="22"/>
              </w:rPr>
              <w:t>003</w:t>
            </w:r>
          </w:p>
        </w:tc>
        <w:tc>
          <w:tcPr>
            <w:tcW w:w="8010" w:type="dxa"/>
          </w:tcPr>
          <w:p w:rsidR="001F5223" w:rsidRPr="007D6C66" w:rsidRDefault="001F5223" w:rsidP="007D6C66">
            <w:pPr>
              <w:ind w:left="-72"/>
              <w:rPr>
                <w:sz w:val="22"/>
                <w:szCs w:val="22"/>
                <w:highlight w:val="green"/>
              </w:rPr>
            </w:pPr>
            <w:r w:rsidRPr="007D6C66">
              <w:rPr>
                <w:sz w:val="22"/>
                <w:szCs w:val="22"/>
              </w:rPr>
              <w:t>150 MMBtu/hr (nominal) Municipal Waste Combustor &amp; Auxiliary Burners–Unit No. 3</w:t>
            </w:r>
          </w:p>
        </w:tc>
      </w:tr>
    </w:tbl>
    <w:p w:rsidR="001F5223" w:rsidRPr="00C70DE1" w:rsidRDefault="007B697C" w:rsidP="007B697C">
      <w:pPr>
        <w:spacing w:before="120" w:after="120"/>
        <w:rPr>
          <w:highlight w:val="green"/>
        </w:rPr>
      </w:pPr>
      <w:r>
        <w:rPr>
          <w:bCs/>
          <w:sz w:val="22"/>
          <w:szCs w:val="22"/>
        </w:rPr>
        <w:t>The 1998 permit included enforceable conditions for process rate limits</w:t>
      </w:r>
      <w:r w:rsidR="0012039C">
        <w:rPr>
          <w:bCs/>
          <w:sz w:val="22"/>
          <w:szCs w:val="22"/>
        </w:rPr>
        <w:t xml:space="preserve"> and </w:t>
      </w:r>
      <w:proofErr w:type="gramStart"/>
      <w:r w:rsidR="0012039C">
        <w:rPr>
          <w:bCs/>
          <w:sz w:val="22"/>
          <w:szCs w:val="22"/>
        </w:rPr>
        <w:t xml:space="preserve">fuels </w:t>
      </w:r>
      <w:r>
        <w:rPr>
          <w:bCs/>
          <w:sz w:val="22"/>
          <w:szCs w:val="22"/>
        </w:rPr>
        <w:t>.</w:t>
      </w:r>
      <w:proofErr w:type="gramEnd"/>
      <w:r>
        <w:rPr>
          <w:bCs/>
          <w:sz w:val="22"/>
          <w:szCs w:val="22"/>
        </w:rPr>
        <w:t xml:space="preserve">  The relevant </w:t>
      </w:r>
      <w:proofErr w:type="gramStart"/>
      <w:r>
        <w:rPr>
          <w:bCs/>
          <w:sz w:val="22"/>
          <w:szCs w:val="22"/>
        </w:rPr>
        <w:t>condition</w:t>
      </w:r>
      <w:r w:rsidR="0012039C">
        <w:rPr>
          <w:bCs/>
          <w:sz w:val="22"/>
          <w:szCs w:val="22"/>
        </w:rPr>
        <w:t>s</w:t>
      </w:r>
      <w:r>
        <w:rPr>
          <w:bCs/>
          <w:sz w:val="22"/>
          <w:szCs w:val="22"/>
        </w:rPr>
        <w:t xml:space="preserve"> as given in Section III is</w:t>
      </w:r>
      <w:proofErr w:type="gramEnd"/>
      <w:r>
        <w:rPr>
          <w:bCs/>
          <w:sz w:val="22"/>
          <w:szCs w:val="22"/>
        </w:rPr>
        <w:t xml:space="preserve"> reproduced as follows:</w:t>
      </w:r>
    </w:p>
    <w:p w:rsidR="007B697C" w:rsidRPr="00E52C5C" w:rsidRDefault="007C3DA4" w:rsidP="007B697C">
      <w:pPr>
        <w:tabs>
          <w:tab w:val="left" w:pos="540"/>
        </w:tabs>
        <w:spacing w:after="60"/>
        <w:ind w:left="533" w:hanging="533"/>
        <w:rPr>
          <w:sz w:val="22"/>
          <w:szCs w:val="22"/>
          <w:u w:val="single"/>
        </w:rPr>
      </w:pPr>
      <w:r>
        <w:rPr>
          <w:sz w:val="22"/>
          <w:szCs w:val="22"/>
        </w:rPr>
        <w:t>B.2</w:t>
      </w:r>
      <w:r w:rsidR="007B697C" w:rsidRPr="00E52C5C">
        <w:rPr>
          <w:sz w:val="22"/>
          <w:szCs w:val="22"/>
        </w:rPr>
        <w:t>.</w:t>
      </w:r>
      <w:r w:rsidR="007B697C" w:rsidRPr="00E52C5C">
        <w:rPr>
          <w:sz w:val="22"/>
          <w:szCs w:val="22"/>
        </w:rPr>
        <w:tab/>
      </w:r>
      <w:r w:rsidR="007B697C">
        <w:rPr>
          <w:sz w:val="22"/>
          <w:szCs w:val="22"/>
          <w:u w:val="single"/>
        </w:rPr>
        <w:t>Process Operating Rates</w:t>
      </w:r>
    </w:p>
    <w:p w:rsidR="007B697C" w:rsidRPr="00152912" w:rsidRDefault="007B697C" w:rsidP="0012039C">
      <w:pPr>
        <w:spacing w:after="120"/>
        <w:ind w:left="547"/>
        <w:rPr>
          <w:bCs/>
          <w:sz w:val="22"/>
          <w:szCs w:val="22"/>
        </w:rPr>
      </w:pPr>
      <w:r w:rsidRPr="00152912">
        <w:rPr>
          <w:bCs/>
          <w:sz w:val="22"/>
          <w:szCs w:val="22"/>
        </w:rPr>
        <w:t>The maximum individual MWC throughput shall not exceed 460 tons MSW per day (1,380 tons per day entire facility), 172.5 MMBtu per hour</w:t>
      </w:r>
      <w:r w:rsidR="007C3DA4">
        <w:rPr>
          <w:bCs/>
          <w:sz w:val="22"/>
          <w:szCs w:val="22"/>
        </w:rPr>
        <w:t>,</w:t>
      </w:r>
      <w:r w:rsidRPr="00152912">
        <w:rPr>
          <w:bCs/>
          <w:sz w:val="22"/>
          <w:szCs w:val="22"/>
        </w:rPr>
        <w:t xml:space="preserve"> </w:t>
      </w:r>
      <w:proofErr w:type="gramStart"/>
      <w:r w:rsidRPr="007C3DA4">
        <w:rPr>
          <w:b/>
          <w:bCs/>
          <w:i/>
          <w:sz w:val="22"/>
          <w:szCs w:val="22"/>
        </w:rPr>
        <w:t>102,000</w:t>
      </w:r>
      <w:proofErr w:type="gramEnd"/>
      <w:r w:rsidRPr="007C3DA4">
        <w:rPr>
          <w:b/>
          <w:bCs/>
          <w:i/>
          <w:sz w:val="22"/>
          <w:szCs w:val="22"/>
        </w:rPr>
        <w:t xml:space="preserve"> pounds steam per hour</w:t>
      </w:r>
      <w:r w:rsidRPr="00152912">
        <w:rPr>
          <w:bCs/>
          <w:sz w:val="22"/>
          <w:szCs w:val="22"/>
        </w:rPr>
        <w:t xml:space="preserve"> (on a 4-hour block arithmetic average).  The incinerators/boilers shall not be loaded in excess of their maximum operating capacity, equivalent to 1,380 tons MSW per day total, but no more than 1,200 tons MSW on an annual (52 week rolling average) average basis </w:t>
      </w:r>
      <w:r w:rsidR="00152912" w:rsidRPr="00152912">
        <w:rPr>
          <w:bCs/>
          <w:sz w:val="22"/>
          <w:szCs w:val="22"/>
        </w:rPr>
        <w:t>for the entire facility.  (Compliance per Spe</w:t>
      </w:r>
      <w:r w:rsidR="00152912">
        <w:rPr>
          <w:bCs/>
          <w:sz w:val="22"/>
          <w:szCs w:val="22"/>
        </w:rPr>
        <w:t>cific Conditions B.13 and B.14)</w:t>
      </w:r>
      <w:r w:rsidR="0012039C">
        <w:rPr>
          <w:bCs/>
          <w:sz w:val="22"/>
          <w:szCs w:val="22"/>
        </w:rPr>
        <w:t xml:space="preserve"> </w:t>
      </w:r>
      <w:r w:rsidR="00152912" w:rsidRPr="00152912">
        <w:rPr>
          <w:bCs/>
          <w:sz w:val="22"/>
          <w:szCs w:val="22"/>
        </w:rPr>
        <w:t xml:space="preserve">[Rule 62-204.800(8), F.A.C., 40 CFR 60.31b; 60.38b; 60.51b, and </w:t>
      </w:r>
      <w:proofErr w:type="gramStart"/>
      <w:r w:rsidR="00152912" w:rsidRPr="00152912">
        <w:rPr>
          <w:bCs/>
          <w:sz w:val="22"/>
          <w:szCs w:val="22"/>
        </w:rPr>
        <w:t>60.58b(</w:t>
      </w:r>
      <w:proofErr w:type="gramEnd"/>
      <w:r w:rsidR="00152912" w:rsidRPr="00152912">
        <w:rPr>
          <w:bCs/>
          <w:sz w:val="22"/>
          <w:szCs w:val="22"/>
        </w:rPr>
        <w:t>j)</w:t>
      </w:r>
      <w:r w:rsidR="0012039C">
        <w:rPr>
          <w:bCs/>
          <w:sz w:val="22"/>
          <w:szCs w:val="22"/>
        </w:rPr>
        <w:t xml:space="preserve">; </w:t>
      </w:r>
      <w:r w:rsidR="00152912" w:rsidRPr="00152912">
        <w:rPr>
          <w:bCs/>
          <w:sz w:val="22"/>
          <w:szCs w:val="22"/>
        </w:rPr>
        <w:t>PSD-FL-121(A)/PA 83-19</w:t>
      </w:r>
      <w:r w:rsidR="0012039C">
        <w:rPr>
          <w:bCs/>
          <w:sz w:val="22"/>
          <w:szCs w:val="22"/>
        </w:rPr>
        <w:br/>
      </w:r>
      <w:r w:rsidR="00152912" w:rsidRPr="00152912">
        <w:rPr>
          <w:bCs/>
          <w:sz w:val="22"/>
          <w:szCs w:val="22"/>
        </w:rPr>
        <w:t xml:space="preserve"> and Rule 62-4.030(3), F.A.C.]</w:t>
      </w:r>
    </w:p>
    <w:p w:rsidR="00E52C5C" w:rsidRPr="00E52C5C" w:rsidRDefault="00D907E6" w:rsidP="00E52C5C">
      <w:pPr>
        <w:tabs>
          <w:tab w:val="left" w:pos="540"/>
        </w:tabs>
        <w:spacing w:after="60"/>
        <w:ind w:left="533" w:hanging="533"/>
        <w:rPr>
          <w:sz w:val="22"/>
          <w:szCs w:val="22"/>
          <w:u w:val="single"/>
        </w:rPr>
      </w:pPr>
      <w:r w:rsidRPr="00E52C5C">
        <w:rPr>
          <w:sz w:val="22"/>
          <w:szCs w:val="22"/>
        </w:rPr>
        <w:t>B.6.</w:t>
      </w:r>
      <w:r w:rsidRPr="00E52C5C">
        <w:rPr>
          <w:sz w:val="22"/>
          <w:szCs w:val="22"/>
        </w:rPr>
        <w:tab/>
      </w:r>
      <w:r w:rsidR="00E52C5C" w:rsidRPr="00E52C5C">
        <w:rPr>
          <w:sz w:val="22"/>
          <w:szCs w:val="22"/>
          <w:u w:val="single"/>
        </w:rPr>
        <w:t>Fuels</w:t>
      </w:r>
    </w:p>
    <w:p w:rsidR="00E52C5C" w:rsidRPr="00E52C5C" w:rsidRDefault="00E52C5C" w:rsidP="00E52C5C">
      <w:pPr>
        <w:spacing w:after="120"/>
        <w:ind w:left="540"/>
        <w:rPr>
          <w:sz w:val="22"/>
          <w:szCs w:val="22"/>
        </w:rPr>
      </w:pPr>
      <w:r w:rsidRPr="00E52C5C">
        <w:rPr>
          <w:sz w:val="22"/>
          <w:szCs w:val="22"/>
        </w:rPr>
        <w:t>The primary fuel for the facility is municipal sol</w:t>
      </w:r>
      <w:r w:rsidR="00FA13D9">
        <w:rPr>
          <w:sz w:val="22"/>
          <w:szCs w:val="22"/>
        </w:rPr>
        <w:t>i</w:t>
      </w:r>
      <w:r w:rsidRPr="00E52C5C">
        <w:rPr>
          <w:sz w:val="22"/>
          <w:szCs w:val="22"/>
        </w:rPr>
        <w:t>d waste (MSW), including the items and materials that fit within the definition of MSW contained in either 40 CFR 60.51b or Section 403.706(5), Florida Statutes (1995).</w:t>
      </w:r>
    </w:p>
    <w:p w:rsidR="00D907E6" w:rsidRPr="00E52C5C" w:rsidRDefault="00E52C5C" w:rsidP="0080145D">
      <w:pPr>
        <w:tabs>
          <w:tab w:val="left" w:pos="630"/>
        </w:tabs>
        <w:spacing w:after="60"/>
        <w:ind w:left="630" w:hanging="630"/>
        <w:rPr>
          <w:sz w:val="22"/>
          <w:szCs w:val="22"/>
        </w:rPr>
      </w:pPr>
      <w:r w:rsidRPr="00E52C5C">
        <w:rPr>
          <w:sz w:val="22"/>
          <w:szCs w:val="22"/>
        </w:rPr>
        <w:t>B.6.1</w:t>
      </w:r>
      <w:r>
        <w:rPr>
          <w:sz w:val="22"/>
          <w:szCs w:val="22"/>
        </w:rPr>
        <w:tab/>
      </w:r>
      <w:r w:rsidR="00D907E6" w:rsidRPr="00E52C5C">
        <w:rPr>
          <w:sz w:val="22"/>
          <w:szCs w:val="22"/>
        </w:rPr>
        <w:t xml:space="preserve">Subject to the limitations contained in this permit, the authorized fuels for the facility also include the other solid wastes that are not MSW, which are described in d. - f., below.  However, the facility </w:t>
      </w:r>
      <w:r w:rsidR="00D907E6" w:rsidRPr="007C3DA4">
        <w:rPr>
          <w:b/>
          <w:sz w:val="22"/>
          <w:szCs w:val="22"/>
          <w:u w:val="single"/>
        </w:rPr>
        <w:t>shall not burn</w:t>
      </w:r>
      <w:r w:rsidR="00D907E6" w:rsidRPr="00E52C5C">
        <w:rPr>
          <w:sz w:val="22"/>
          <w:szCs w:val="22"/>
        </w:rPr>
        <w:t>:</w:t>
      </w:r>
    </w:p>
    <w:p w:rsidR="00D907E6" w:rsidRPr="00E52C5C" w:rsidRDefault="00D907E6" w:rsidP="00D623D7">
      <w:pPr>
        <w:pStyle w:val="ListParagraph"/>
        <w:numPr>
          <w:ilvl w:val="0"/>
          <w:numId w:val="11"/>
        </w:numPr>
        <w:ind w:left="990"/>
        <w:rPr>
          <w:sz w:val="22"/>
          <w:szCs w:val="22"/>
        </w:rPr>
      </w:pPr>
      <w:r w:rsidRPr="00E52C5C">
        <w:rPr>
          <w:sz w:val="22"/>
          <w:szCs w:val="22"/>
        </w:rPr>
        <w:t>those materials that are prohibited by state or federal law;</w:t>
      </w:r>
    </w:p>
    <w:p w:rsidR="00D907E6" w:rsidRPr="00E52C5C" w:rsidRDefault="00D907E6" w:rsidP="00D623D7">
      <w:pPr>
        <w:pStyle w:val="ListParagraph"/>
        <w:numPr>
          <w:ilvl w:val="0"/>
          <w:numId w:val="11"/>
        </w:numPr>
        <w:ind w:left="990"/>
        <w:rPr>
          <w:sz w:val="22"/>
          <w:szCs w:val="22"/>
        </w:rPr>
      </w:pPr>
      <w:r w:rsidRPr="00E52C5C">
        <w:rPr>
          <w:sz w:val="22"/>
          <w:szCs w:val="22"/>
        </w:rPr>
        <w:t>those materials that are prohibited by this permit;</w:t>
      </w:r>
    </w:p>
    <w:p w:rsidR="00D907E6" w:rsidRPr="00E52C5C" w:rsidRDefault="00D907E6" w:rsidP="00D623D7">
      <w:pPr>
        <w:pStyle w:val="ListParagraph"/>
        <w:numPr>
          <w:ilvl w:val="0"/>
          <w:numId w:val="11"/>
        </w:numPr>
        <w:ind w:left="990"/>
        <w:rPr>
          <w:sz w:val="22"/>
          <w:szCs w:val="22"/>
        </w:rPr>
      </w:pPr>
      <w:r w:rsidRPr="00E52C5C">
        <w:rPr>
          <w:sz w:val="22"/>
          <w:szCs w:val="22"/>
        </w:rPr>
        <w:t>lead acid batteries;</w:t>
      </w:r>
    </w:p>
    <w:p w:rsidR="00D907E6" w:rsidRPr="00E52C5C" w:rsidRDefault="00D907E6" w:rsidP="00D623D7">
      <w:pPr>
        <w:pStyle w:val="ListParagraph"/>
        <w:numPr>
          <w:ilvl w:val="0"/>
          <w:numId w:val="11"/>
        </w:numPr>
        <w:ind w:left="990"/>
        <w:rPr>
          <w:sz w:val="22"/>
          <w:szCs w:val="22"/>
        </w:rPr>
      </w:pPr>
      <w:r w:rsidRPr="00E52C5C">
        <w:rPr>
          <w:sz w:val="22"/>
          <w:szCs w:val="22"/>
        </w:rPr>
        <w:t>hazardous waste;</w:t>
      </w:r>
    </w:p>
    <w:p w:rsidR="00D907E6" w:rsidRPr="00E52C5C" w:rsidRDefault="00D907E6" w:rsidP="00D623D7">
      <w:pPr>
        <w:pStyle w:val="ListParagraph"/>
        <w:numPr>
          <w:ilvl w:val="0"/>
          <w:numId w:val="11"/>
        </w:numPr>
        <w:ind w:left="990"/>
        <w:rPr>
          <w:sz w:val="22"/>
          <w:szCs w:val="22"/>
        </w:rPr>
      </w:pPr>
      <w:r w:rsidRPr="00E52C5C">
        <w:rPr>
          <w:sz w:val="22"/>
          <w:szCs w:val="22"/>
        </w:rPr>
        <w:t>nuclear waste;</w:t>
      </w:r>
    </w:p>
    <w:p w:rsidR="00D907E6" w:rsidRPr="00E52C5C" w:rsidRDefault="00D907E6" w:rsidP="00D623D7">
      <w:pPr>
        <w:pStyle w:val="ListParagraph"/>
        <w:numPr>
          <w:ilvl w:val="0"/>
          <w:numId w:val="11"/>
        </w:numPr>
        <w:ind w:left="990"/>
        <w:rPr>
          <w:sz w:val="22"/>
          <w:szCs w:val="22"/>
        </w:rPr>
      </w:pPr>
      <w:r w:rsidRPr="00E52C5C">
        <w:rPr>
          <w:sz w:val="22"/>
          <w:szCs w:val="22"/>
        </w:rPr>
        <w:t>radioactive waste;</w:t>
      </w:r>
    </w:p>
    <w:p w:rsidR="00D907E6" w:rsidRPr="00E52C5C" w:rsidRDefault="00D907E6" w:rsidP="00D623D7">
      <w:pPr>
        <w:pStyle w:val="ListParagraph"/>
        <w:numPr>
          <w:ilvl w:val="0"/>
          <w:numId w:val="11"/>
        </w:numPr>
        <w:ind w:left="990"/>
        <w:rPr>
          <w:sz w:val="22"/>
          <w:szCs w:val="22"/>
        </w:rPr>
      </w:pPr>
      <w:r w:rsidRPr="007C3DA4">
        <w:rPr>
          <w:b/>
          <w:i/>
          <w:sz w:val="22"/>
          <w:szCs w:val="22"/>
        </w:rPr>
        <w:t>sewage sludge</w:t>
      </w:r>
      <w:r w:rsidRPr="00E52C5C">
        <w:rPr>
          <w:sz w:val="22"/>
          <w:szCs w:val="22"/>
        </w:rPr>
        <w:t>;</w:t>
      </w:r>
    </w:p>
    <w:p w:rsidR="00D907E6" w:rsidRPr="00E52C5C" w:rsidRDefault="00D907E6" w:rsidP="00D623D7">
      <w:pPr>
        <w:pStyle w:val="ListParagraph"/>
        <w:numPr>
          <w:ilvl w:val="0"/>
          <w:numId w:val="11"/>
        </w:numPr>
        <w:spacing w:after="120"/>
        <w:ind w:left="990"/>
        <w:rPr>
          <w:sz w:val="22"/>
          <w:szCs w:val="22"/>
        </w:rPr>
      </w:pPr>
      <w:proofErr w:type="gramStart"/>
      <w:r w:rsidRPr="00E52C5C">
        <w:rPr>
          <w:sz w:val="22"/>
          <w:szCs w:val="22"/>
        </w:rPr>
        <w:t>explosives</w:t>
      </w:r>
      <w:proofErr w:type="gramEnd"/>
      <w:r w:rsidRPr="00E52C5C">
        <w:rPr>
          <w:sz w:val="22"/>
          <w:szCs w:val="22"/>
        </w:rPr>
        <w:t>.</w:t>
      </w:r>
    </w:p>
    <w:p w:rsidR="00786E12" w:rsidRPr="0080145D" w:rsidRDefault="0080145D" w:rsidP="0080145D">
      <w:pPr>
        <w:widowControl w:val="0"/>
        <w:tabs>
          <w:tab w:val="left" w:pos="630"/>
        </w:tabs>
        <w:spacing w:after="60"/>
        <w:ind w:left="634" w:hanging="634"/>
        <w:rPr>
          <w:bCs/>
          <w:sz w:val="22"/>
          <w:szCs w:val="22"/>
        </w:rPr>
      </w:pPr>
      <w:r w:rsidRPr="0080145D">
        <w:rPr>
          <w:bCs/>
          <w:sz w:val="22"/>
          <w:szCs w:val="22"/>
        </w:rPr>
        <w:t>B.6.2</w:t>
      </w:r>
      <w:r w:rsidRPr="0080145D">
        <w:rPr>
          <w:bCs/>
          <w:sz w:val="22"/>
          <w:szCs w:val="22"/>
        </w:rPr>
        <w:tab/>
      </w:r>
      <w:r w:rsidRPr="0080145D">
        <w:rPr>
          <w:sz w:val="22"/>
          <w:szCs w:val="22"/>
        </w:rPr>
        <w:t>The fuel may be received either as a mixture or as a single-item stream (</w:t>
      </w:r>
      <w:r w:rsidRPr="0080145D">
        <w:rPr>
          <w:sz w:val="22"/>
          <w:szCs w:val="22"/>
          <w:u w:val="single"/>
        </w:rPr>
        <w:t>segregated load</w:t>
      </w:r>
      <w:r w:rsidRPr="0080145D">
        <w:rPr>
          <w:sz w:val="22"/>
          <w:szCs w:val="22"/>
        </w:rPr>
        <w:t>) of discarded materials.  If the facility intends to use an authorized fuel that is segregated non-MSW material, the fuel shall be either:</w:t>
      </w:r>
    </w:p>
    <w:p w:rsidR="0080145D" w:rsidRPr="0080145D" w:rsidRDefault="0080145D" w:rsidP="00D623D7">
      <w:pPr>
        <w:pStyle w:val="ListParagraph"/>
        <w:numPr>
          <w:ilvl w:val="0"/>
          <w:numId w:val="12"/>
        </w:numPr>
        <w:ind w:left="990"/>
        <w:rPr>
          <w:sz w:val="22"/>
          <w:szCs w:val="22"/>
        </w:rPr>
      </w:pPr>
      <w:r w:rsidRPr="0080145D">
        <w:rPr>
          <w:sz w:val="22"/>
          <w:szCs w:val="22"/>
        </w:rPr>
        <w:t>well mixed with MSW in the refuse pit; or</w:t>
      </w:r>
    </w:p>
    <w:p w:rsidR="0080145D" w:rsidRPr="0080145D" w:rsidRDefault="0080145D" w:rsidP="00D623D7">
      <w:pPr>
        <w:pStyle w:val="ListParagraph"/>
        <w:numPr>
          <w:ilvl w:val="0"/>
          <w:numId w:val="12"/>
        </w:numPr>
        <w:spacing w:after="120"/>
        <w:ind w:left="994"/>
        <w:contextualSpacing w:val="0"/>
        <w:rPr>
          <w:sz w:val="22"/>
          <w:szCs w:val="22"/>
        </w:rPr>
      </w:pPr>
      <w:proofErr w:type="gramStart"/>
      <w:r w:rsidRPr="0080145D">
        <w:rPr>
          <w:sz w:val="22"/>
          <w:szCs w:val="22"/>
        </w:rPr>
        <w:t>alternately</w:t>
      </w:r>
      <w:proofErr w:type="gramEnd"/>
      <w:r w:rsidRPr="0080145D">
        <w:rPr>
          <w:sz w:val="22"/>
          <w:szCs w:val="22"/>
        </w:rPr>
        <w:t xml:space="preserve"> charged with MSW in the hopper.</w:t>
      </w:r>
    </w:p>
    <w:p w:rsidR="0080145D" w:rsidRPr="00C91DCE" w:rsidRDefault="0080145D" w:rsidP="0080145D">
      <w:pPr>
        <w:widowControl w:val="0"/>
        <w:tabs>
          <w:tab w:val="left" w:pos="450"/>
        </w:tabs>
        <w:spacing w:after="120"/>
        <w:rPr>
          <w:bCs/>
          <w:sz w:val="22"/>
          <w:szCs w:val="22"/>
        </w:rPr>
      </w:pPr>
      <w:r w:rsidRPr="00C91DCE">
        <w:rPr>
          <w:bCs/>
          <w:sz w:val="22"/>
          <w:szCs w:val="22"/>
        </w:rPr>
        <w:t xml:space="preserve">Further details regarding permitted and prohibited fuels were provided in conditions B.6.3 through B.6.7.  </w:t>
      </w:r>
      <w:r w:rsidR="001F5223">
        <w:rPr>
          <w:bCs/>
          <w:sz w:val="22"/>
          <w:szCs w:val="22"/>
        </w:rPr>
        <w:t>O</w:t>
      </w:r>
      <w:r w:rsidRPr="00C91DCE">
        <w:rPr>
          <w:bCs/>
          <w:sz w:val="22"/>
          <w:szCs w:val="22"/>
        </w:rPr>
        <w:t xml:space="preserve">f particular interest in this review is the prohibition on burning sewage sludge given in Condition </w:t>
      </w:r>
      <w:proofErr w:type="gramStart"/>
      <w:r w:rsidRPr="00C91DCE">
        <w:rPr>
          <w:bCs/>
          <w:sz w:val="22"/>
          <w:szCs w:val="22"/>
        </w:rPr>
        <w:t>B.6.1</w:t>
      </w:r>
      <w:r w:rsidR="00C91DCE" w:rsidRPr="00C91DCE">
        <w:rPr>
          <w:bCs/>
          <w:sz w:val="22"/>
          <w:szCs w:val="22"/>
        </w:rPr>
        <w:t>(</w:t>
      </w:r>
      <w:proofErr w:type="gramEnd"/>
      <w:r w:rsidR="00C91DCE" w:rsidRPr="00C91DCE">
        <w:rPr>
          <w:bCs/>
          <w:sz w:val="22"/>
          <w:szCs w:val="22"/>
        </w:rPr>
        <w:t xml:space="preserve">g) </w:t>
      </w:r>
      <w:r w:rsidR="001F5223">
        <w:rPr>
          <w:bCs/>
          <w:sz w:val="22"/>
          <w:szCs w:val="22"/>
        </w:rPr>
        <w:t xml:space="preserve">that originated in the original PSD permits </w:t>
      </w:r>
      <w:r w:rsidR="00C91DCE" w:rsidRPr="00C91DCE">
        <w:rPr>
          <w:bCs/>
          <w:sz w:val="22"/>
          <w:szCs w:val="22"/>
        </w:rPr>
        <w:t xml:space="preserve">and </w:t>
      </w:r>
      <w:r w:rsidR="001F5223">
        <w:rPr>
          <w:bCs/>
          <w:sz w:val="22"/>
          <w:szCs w:val="22"/>
        </w:rPr>
        <w:t xml:space="preserve">was subsequently </w:t>
      </w:r>
      <w:r w:rsidR="00C91DCE" w:rsidRPr="00C91DCE">
        <w:rPr>
          <w:bCs/>
          <w:sz w:val="22"/>
          <w:szCs w:val="22"/>
        </w:rPr>
        <w:t xml:space="preserve">carried forward into the </w:t>
      </w:r>
      <w:r w:rsidR="001F5223">
        <w:rPr>
          <w:bCs/>
          <w:sz w:val="22"/>
          <w:szCs w:val="22"/>
        </w:rPr>
        <w:t xml:space="preserve">1998 permit and the subsequent </w:t>
      </w:r>
      <w:r w:rsidR="00C91DCE" w:rsidRPr="00C91DCE">
        <w:rPr>
          <w:bCs/>
          <w:sz w:val="22"/>
          <w:szCs w:val="22"/>
        </w:rPr>
        <w:t>facility Title V Air Operation Permit</w:t>
      </w:r>
      <w:r w:rsidR="001F5223">
        <w:rPr>
          <w:bCs/>
          <w:sz w:val="22"/>
          <w:szCs w:val="22"/>
        </w:rPr>
        <w:t>s.</w:t>
      </w:r>
      <w:r w:rsidR="007C3DA4">
        <w:rPr>
          <w:bCs/>
          <w:sz w:val="22"/>
          <w:szCs w:val="22"/>
        </w:rPr>
        <w:t xml:space="preserve">  Also of interest is the stated steam process rate.</w:t>
      </w:r>
    </w:p>
    <w:p w:rsidR="0004603E" w:rsidRPr="003F1FC8" w:rsidRDefault="001F5223" w:rsidP="0004603E">
      <w:pPr>
        <w:spacing w:after="120"/>
        <w:rPr>
          <w:bCs/>
          <w:sz w:val="22"/>
          <w:szCs w:val="22"/>
        </w:rPr>
      </w:pPr>
      <w:r w:rsidRPr="003F1FC8">
        <w:rPr>
          <w:bCs/>
          <w:sz w:val="22"/>
          <w:szCs w:val="22"/>
        </w:rPr>
        <w:t xml:space="preserve">The original </w:t>
      </w:r>
      <w:r w:rsidR="007C3DA4" w:rsidRPr="003F1FC8">
        <w:rPr>
          <w:bCs/>
          <w:sz w:val="22"/>
          <w:szCs w:val="22"/>
        </w:rPr>
        <w:t xml:space="preserve">air construction </w:t>
      </w:r>
      <w:r w:rsidRPr="003F1FC8">
        <w:rPr>
          <w:bCs/>
          <w:sz w:val="22"/>
          <w:szCs w:val="22"/>
        </w:rPr>
        <w:t>permit for Unit 4 that was issued in 2006 (</w:t>
      </w:r>
      <w:r w:rsidR="007C3DA4" w:rsidRPr="003F1FC8">
        <w:rPr>
          <w:bCs/>
          <w:sz w:val="22"/>
          <w:szCs w:val="22"/>
        </w:rPr>
        <w:t>0570261-007-AC/</w:t>
      </w:r>
      <w:r w:rsidRPr="003F1FC8">
        <w:rPr>
          <w:bCs/>
          <w:sz w:val="22"/>
          <w:szCs w:val="22"/>
        </w:rPr>
        <w:t>PSD-FL-</w:t>
      </w:r>
      <w:r w:rsidR="007C3DA4" w:rsidRPr="003F1FC8">
        <w:rPr>
          <w:bCs/>
          <w:sz w:val="22"/>
          <w:szCs w:val="22"/>
        </w:rPr>
        <w:t>369) also included a prohibition on sewage sludge as a fuel.</w:t>
      </w:r>
      <w:r w:rsidR="0004603E" w:rsidRPr="003F1FC8">
        <w:rPr>
          <w:bCs/>
          <w:sz w:val="22"/>
          <w:szCs w:val="22"/>
        </w:rPr>
        <w:t xml:space="preserve"> </w:t>
      </w:r>
      <w:r w:rsidR="007C3DA4" w:rsidRPr="003F1FC8">
        <w:rPr>
          <w:bCs/>
          <w:sz w:val="22"/>
          <w:szCs w:val="22"/>
        </w:rPr>
        <w:t xml:space="preserve"> </w:t>
      </w:r>
      <w:hyperlink r:id="rId18" w:history="1">
        <w:r w:rsidR="0004603E" w:rsidRPr="003F1FC8">
          <w:rPr>
            <w:rStyle w:val="Hyperlink"/>
            <w:sz w:val="22"/>
            <w:szCs w:val="22"/>
          </w:rPr>
          <w:t>Link to Unit 4 PSD Permit</w:t>
        </w:r>
      </w:hyperlink>
      <w:r w:rsidR="0004603E" w:rsidRPr="003F1FC8">
        <w:rPr>
          <w:sz w:val="22"/>
          <w:szCs w:val="22"/>
        </w:rPr>
        <w:t xml:space="preserve">  In contrast to Units 1, 2 and 3 o</w:t>
      </w:r>
      <w:r w:rsidR="0004603E" w:rsidRPr="003F1FC8">
        <w:rPr>
          <w:bCs/>
          <w:sz w:val="22"/>
          <w:szCs w:val="22"/>
        </w:rPr>
        <w:t>nly a single enforceable steam process limitation was included in the Unit 4 permit</w:t>
      </w:r>
      <w:r w:rsidR="00694725" w:rsidRPr="003F1FC8">
        <w:rPr>
          <w:bCs/>
          <w:sz w:val="22"/>
          <w:szCs w:val="22"/>
        </w:rPr>
        <w:t>, Section III.B</w:t>
      </w:r>
      <w:r w:rsidR="0004603E" w:rsidRPr="003F1FC8">
        <w:rPr>
          <w:bCs/>
          <w:sz w:val="22"/>
          <w:szCs w:val="22"/>
        </w:rPr>
        <w:t xml:space="preserve"> as follows:</w:t>
      </w:r>
    </w:p>
    <w:p w:rsidR="00694725" w:rsidRPr="00C363F3" w:rsidRDefault="00C363F3" w:rsidP="00542036">
      <w:pPr>
        <w:tabs>
          <w:tab w:val="left" w:pos="360"/>
        </w:tabs>
        <w:spacing w:after="60"/>
        <w:ind w:left="360" w:hanging="360"/>
        <w:rPr>
          <w:bCs/>
          <w:sz w:val="22"/>
          <w:szCs w:val="22"/>
        </w:rPr>
      </w:pPr>
      <w:r w:rsidRPr="00C363F3">
        <w:rPr>
          <w:sz w:val="22"/>
          <w:szCs w:val="22"/>
        </w:rPr>
        <w:t>2.</w:t>
      </w:r>
      <w:r w:rsidRPr="00C363F3">
        <w:rPr>
          <w:sz w:val="22"/>
          <w:szCs w:val="22"/>
        </w:rPr>
        <w:tab/>
      </w:r>
      <w:r w:rsidR="00694725" w:rsidRPr="00C363F3">
        <w:rPr>
          <w:sz w:val="22"/>
          <w:szCs w:val="22"/>
          <w:u w:val="single"/>
        </w:rPr>
        <w:t>Permitted Capacity</w:t>
      </w:r>
      <w:r w:rsidR="00694725" w:rsidRPr="00C363F3">
        <w:rPr>
          <w:sz w:val="22"/>
          <w:szCs w:val="22"/>
        </w:rPr>
        <w:t xml:space="preserve">.  The maximum steam production rate shall not exceed </w:t>
      </w:r>
      <w:r w:rsidR="005C58AC">
        <w:rPr>
          <w:sz w:val="22"/>
          <w:szCs w:val="22"/>
        </w:rPr>
        <w:t>20</w:t>
      </w:r>
      <w:r w:rsidR="00694725" w:rsidRPr="00C363F3">
        <w:rPr>
          <w:sz w:val="22"/>
          <w:szCs w:val="22"/>
        </w:rPr>
        <w:t>0,000 pounds steam per hour (on a 4-hour block arithmetic average).</w:t>
      </w:r>
    </w:p>
    <w:p w:rsidR="00694725" w:rsidRPr="00694725" w:rsidRDefault="00694725" w:rsidP="00542036">
      <w:pPr>
        <w:spacing w:after="60"/>
        <w:ind w:left="446" w:hanging="86"/>
        <w:rPr>
          <w:i/>
          <w:sz w:val="22"/>
          <w:szCs w:val="22"/>
        </w:rPr>
      </w:pPr>
      <w:r w:rsidRPr="00694725">
        <w:rPr>
          <w:i/>
          <w:sz w:val="22"/>
          <w:szCs w:val="22"/>
        </w:rPr>
        <w:t xml:space="preserve">{Permitting Note:  The nominal capacity of Unit 4 is 600 tons per day and has been determined to be greater than 250 tons per day, thus classifying the unit as a “large MWC unit” under NSPS - 40 CFR 60, </w:t>
      </w:r>
      <w:r w:rsidR="00542036">
        <w:rPr>
          <w:i/>
          <w:sz w:val="22"/>
          <w:szCs w:val="22"/>
        </w:rPr>
        <w:br/>
      </w:r>
      <w:r w:rsidRPr="00694725">
        <w:rPr>
          <w:i/>
          <w:sz w:val="22"/>
          <w:szCs w:val="22"/>
        </w:rPr>
        <w:t>Subpart Eb.}</w:t>
      </w:r>
    </w:p>
    <w:p w:rsidR="00694725" w:rsidRPr="00694725" w:rsidRDefault="00694725" w:rsidP="00F86613">
      <w:pPr>
        <w:spacing w:after="120"/>
        <w:ind w:left="360"/>
        <w:rPr>
          <w:sz w:val="22"/>
          <w:szCs w:val="22"/>
        </w:rPr>
      </w:pPr>
      <w:r w:rsidRPr="00694725">
        <w:rPr>
          <w:sz w:val="22"/>
          <w:szCs w:val="22"/>
        </w:rPr>
        <w:t>[Rules 62-4.160(2) and 62-210.200(PTE), F.A.C., 40 CFR 60, Subpart Eb, and Design]</w:t>
      </w:r>
    </w:p>
    <w:p w:rsidR="00786E12" w:rsidRDefault="00694725" w:rsidP="0004603E">
      <w:pPr>
        <w:spacing w:after="120"/>
        <w:rPr>
          <w:bCs/>
          <w:sz w:val="22"/>
          <w:szCs w:val="22"/>
        </w:rPr>
      </w:pPr>
      <w:r>
        <w:rPr>
          <w:bCs/>
          <w:sz w:val="22"/>
          <w:szCs w:val="22"/>
        </w:rPr>
        <w:lastRenderedPageBreak/>
        <w:t>For reference, the permit also contains a reference to a “</w:t>
      </w:r>
      <w:r w:rsidRPr="00694725">
        <w:rPr>
          <w:bCs/>
          <w:sz w:val="22"/>
          <w:szCs w:val="22"/>
        </w:rPr>
        <w:t>nominal steam production rate</w:t>
      </w:r>
      <w:r>
        <w:rPr>
          <w:bCs/>
          <w:sz w:val="22"/>
          <w:szCs w:val="22"/>
        </w:rPr>
        <w:t xml:space="preserve">” of </w:t>
      </w:r>
      <w:r w:rsidRPr="00694725">
        <w:rPr>
          <w:bCs/>
          <w:sz w:val="22"/>
          <w:szCs w:val="22"/>
        </w:rPr>
        <w:t xml:space="preserve">163,780 pounds </w:t>
      </w:r>
      <w:r w:rsidR="00BC11D1">
        <w:rPr>
          <w:bCs/>
          <w:sz w:val="22"/>
          <w:szCs w:val="22"/>
        </w:rPr>
        <w:t xml:space="preserve">per </w:t>
      </w:r>
      <w:r w:rsidRPr="00694725">
        <w:rPr>
          <w:bCs/>
          <w:sz w:val="22"/>
          <w:szCs w:val="22"/>
        </w:rPr>
        <w:t xml:space="preserve">hour </w:t>
      </w:r>
      <w:r w:rsidR="00BC11D1">
        <w:rPr>
          <w:bCs/>
          <w:sz w:val="22"/>
          <w:szCs w:val="22"/>
        </w:rPr>
        <w:t xml:space="preserve">(lb/hour) </w:t>
      </w:r>
      <w:r>
        <w:rPr>
          <w:bCs/>
          <w:sz w:val="22"/>
          <w:szCs w:val="22"/>
        </w:rPr>
        <w:t xml:space="preserve">and </w:t>
      </w:r>
      <w:r w:rsidR="00C363F3">
        <w:rPr>
          <w:bCs/>
          <w:sz w:val="22"/>
          <w:szCs w:val="22"/>
        </w:rPr>
        <w:t>a “</w:t>
      </w:r>
      <w:r w:rsidRPr="00694725">
        <w:rPr>
          <w:bCs/>
          <w:sz w:val="22"/>
          <w:szCs w:val="22"/>
        </w:rPr>
        <w:t>nominal heat input</w:t>
      </w:r>
      <w:r w:rsidR="00C363F3">
        <w:rPr>
          <w:bCs/>
          <w:sz w:val="22"/>
          <w:szCs w:val="22"/>
        </w:rPr>
        <w:t xml:space="preserve">” of </w:t>
      </w:r>
      <w:r w:rsidR="00B3510E">
        <w:rPr>
          <w:bCs/>
          <w:sz w:val="22"/>
          <w:szCs w:val="22"/>
        </w:rPr>
        <w:t>approximately 288 MM</w:t>
      </w:r>
      <w:r w:rsidRPr="00694725">
        <w:rPr>
          <w:bCs/>
          <w:sz w:val="22"/>
          <w:szCs w:val="22"/>
        </w:rPr>
        <w:t xml:space="preserve">Btu/hour.  </w:t>
      </w:r>
      <w:r w:rsidR="00F42462">
        <w:rPr>
          <w:bCs/>
          <w:sz w:val="22"/>
          <w:szCs w:val="22"/>
        </w:rPr>
        <w:t xml:space="preserve">The enforceable limit of 190,000 lb/hour of steam was revised to 200,000 lb/hour of steam in a subsequent permit modification issued in 2007 when the unit was under construction (0570261-009-AC/PSD-FL-369B).  </w:t>
      </w:r>
      <w:hyperlink r:id="rId19" w:history="1">
        <w:r w:rsidR="00F42462">
          <w:rPr>
            <w:rStyle w:val="Hyperlink"/>
            <w:bCs/>
            <w:sz w:val="22"/>
            <w:szCs w:val="22"/>
          </w:rPr>
          <w:t>Link to Unit 4 PSD Permit Revision</w:t>
        </w:r>
      </w:hyperlink>
      <w:r w:rsidR="00F42462">
        <w:rPr>
          <w:bCs/>
          <w:sz w:val="22"/>
          <w:szCs w:val="22"/>
        </w:rPr>
        <w:t xml:space="preserve"> </w:t>
      </w:r>
    </w:p>
    <w:p w:rsidR="00786E12" w:rsidRPr="00C363F3" w:rsidRDefault="00F42462" w:rsidP="00D623D7">
      <w:pPr>
        <w:widowControl w:val="0"/>
        <w:numPr>
          <w:ilvl w:val="1"/>
          <w:numId w:val="8"/>
        </w:numPr>
        <w:tabs>
          <w:tab w:val="left" w:pos="450"/>
        </w:tabs>
        <w:spacing w:after="120"/>
        <w:ind w:left="446" w:hanging="446"/>
        <w:rPr>
          <w:b/>
          <w:bCs/>
          <w:sz w:val="22"/>
          <w:szCs w:val="22"/>
        </w:rPr>
      </w:pPr>
      <w:r>
        <w:rPr>
          <w:b/>
          <w:bCs/>
          <w:sz w:val="22"/>
          <w:szCs w:val="22"/>
        </w:rPr>
        <w:t>Proposed Project</w:t>
      </w:r>
    </w:p>
    <w:p w:rsidR="00F42462" w:rsidRPr="00355112" w:rsidRDefault="00355112" w:rsidP="00355112">
      <w:pPr>
        <w:spacing w:after="120"/>
        <w:rPr>
          <w:sz w:val="22"/>
          <w:szCs w:val="22"/>
        </w:rPr>
      </w:pPr>
      <w:r>
        <w:rPr>
          <w:sz w:val="22"/>
          <w:szCs w:val="22"/>
        </w:rPr>
        <w:t>The applicant requests that the Department r</w:t>
      </w:r>
      <w:r w:rsidR="00F42462" w:rsidRPr="00355112">
        <w:rPr>
          <w:sz w:val="22"/>
          <w:szCs w:val="22"/>
        </w:rPr>
        <w:t>e</w:t>
      </w:r>
      <w:r w:rsidRPr="00355112">
        <w:rPr>
          <w:sz w:val="22"/>
          <w:szCs w:val="22"/>
        </w:rPr>
        <w:t xml:space="preserve">move </w:t>
      </w:r>
      <w:r w:rsidR="00F42462" w:rsidRPr="00355112">
        <w:rPr>
          <w:sz w:val="22"/>
          <w:szCs w:val="22"/>
        </w:rPr>
        <w:t>the design capacity-based waste and heat input operational limitations</w:t>
      </w:r>
      <w:r w:rsidRPr="00355112">
        <w:rPr>
          <w:sz w:val="22"/>
          <w:szCs w:val="22"/>
        </w:rPr>
        <w:t xml:space="preserve"> applicable to Units 1, 2 and 3. </w:t>
      </w:r>
      <w:r>
        <w:rPr>
          <w:sz w:val="22"/>
          <w:szCs w:val="22"/>
        </w:rPr>
        <w:t xml:space="preserve"> </w:t>
      </w:r>
      <w:r w:rsidRPr="00355112">
        <w:rPr>
          <w:sz w:val="22"/>
          <w:szCs w:val="22"/>
        </w:rPr>
        <w:t xml:space="preserve">This would leave the </w:t>
      </w:r>
      <w:r w:rsidR="00F42462" w:rsidRPr="00355112">
        <w:rPr>
          <w:sz w:val="22"/>
          <w:szCs w:val="22"/>
        </w:rPr>
        <w:t xml:space="preserve">four-hour block steam rate of 102,000 </w:t>
      </w:r>
      <w:r w:rsidRPr="00355112">
        <w:rPr>
          <w:sz w:val="22"/>
          <w:szCs w:val="22"/>
        </w:rPr>
        <w:t xml:space="preserve">lb/hour </w:t>
      </w:r>
      <w:r w:rsidR="00F42462" w:rsidRPr="00355112">
        <w:rPr>
          <w:sz w:val="22"/>
          <w:szCs w:val="22"/>
        </w:rPr>
        <w:t xml:space="preserve">pounds </w:t>
      </w:r>
      <w:r w:rsidRPr="00355112">
        <w:rPr>
          <w:sz w:val="22"/>
          <w:szCs w:val="22"/>
        </w:rPr>
        <w:t xml:space="preserve">as the permanently enforceable limit.  </w:t>
      </w:r>
      <w:r w:rsidR="00BC11D1">
        <w:rPr>
          <w:sz w:val="22"/>
          <w:szCs w:val="22"/>
        </w:rPr>
        <w:t>The units would also be limited to 110% of the four-hour block steam rate achieved during the most recent dioxin/furan test as required by the Department’s MWC Rule and 40 CFR 60, Subpart Eb (not to exceed 102,000 lb/hour</w:t>
      </w:r>
      <w:r w:rsidR="00F42462" w:rsidRPr="00355112">
        <w:rPr>
          <w:sz w:val="22"/>
          <w:szCs w:val="22"/>
        </w:rPr>
        <w:t>.</w:t>
      </w:r>
    </w:p>
    <w:p w:rsidR="00DB62D9" w:rsidRDefault="00467307" w:rsidP="00355112">
      <w:pPr>
        <w:spacing w:after="120"/>
        <w:rPr>
          <w:sz w:val="22"/>
          <w:szCs w:val="22"/>
        </w:rPr>
      </w:pPr>
      <w:r>
        <w:rPr>
          <w:sz w:val="22"/>
          <w:szCs w:val="22"/>
        </w:rPr>
        <w:t>The applicant requests r</w:t>
      </w:r>
      <w:r w:rsidR="00F42462" w:rsidRPr="00355112">
        <w:rPr>
          <w:sz w:val="22"/>
          <w:szCs w:val="22"/>
        </w:rPr>
        <w:t xml:space="preserve">emoval of the prohibition against “sewage sludge” </w:t>
      </w:r>
      <w:r>
        <w:rPr>
          <w:sz w:val="22"/>
          <w:szCs w:val="22"/>
        </w:rPr>
        <w:t xml:space="preserve">use </w:t>
      </w:r>
      <w:r w:rsidR="00F42462" w:rsidRPr="00355112">
        <w:rPr>
          <w:sz w:val="22"/>
          <w:szCs w:val="22"/>
        </w:rPr>
        <w:t>as a fuel in Units 1</w:t>
      </w:r>
      <w:r w:rsidR="00537369">
        <w:rPr>
          <w:sz w:val="22"/>
          <w:szCs w:val="22"/>
        </w:rPr>
        <w:t>-4</w:t>
      </w:r>
      <w:r w:rsidR="00F42462" w:rsidRPr="00355112">
        <w:rPr>
          <w:sz w:val="22"/>
          <w:szCs w:val="22"/>
        </w:rPr>
        <w:t xml:space="preserve"> and </w:t>
      </w:r>
      <w:r w:rsidR="00746948">
        <w:rPr>
          <w:sz w:val="22"/>
          <w:szCs w:val="22"/>
        </w:rPr>
        <w:t>requests to use approximately 5</w:t>
      </w:r>
      <w:r>
        <w:rPr>
          <w:sz w:val="22"/>
          <w:szCs w:val="22"/>
        </w:rPr>
        <w:t xml:space="preserve">% </w:t>
      </w:r>
      <w:r w:rsidR="00F42462" w:rsidRPr="00355112">
        <w:rPr>
          <w:sz w:val="22"/>
          <w:szCs w:val="22"/>
        </w:rPr>
        <w:t>biosolids</w:t>
      </w:r>
      <w:r w:rsidR="00542036">
        <w:rPr>
          <w:sz w:val="22"/>
          <w:szCs w:val="22"/>
        </w:rPr>
        <w:t>, by weight, as received</w:t>
      </w:r>
      <w:r w:rsidR="00F42462" w:rsidRPr="00355112">
        <w:rPr>
          <w:sz w:val="22"/>
          <w:szCs w:val="22"/>
        </w:rPr>
        <w:t xml:space="preserve"> (treated</w:t>
      </w:r>
      <w:r>
        <w:rPr>
          <w:sz w:val="22"/>
          <w:szCs w:val="22"/>
        </w:rPr>
        <w:t xml:space="preserve">, </w:t>
      </w:r>
      <w:r w:rsidR="000D3F02">
        <w:rPr>
          <w:sz w:val="22"/>
          <w:szCs w:val="22"/>
        </w:rPr>
        <w:t>dewatered</w:t>
      </w:r>
      <w:r>
        <w:rPr>
          <w:sz w:val="22"/>
          <w:szCs w:val="22"/>
        </w:rPr>
        <w:t xml:space="preserve"> </w:t>
      </w:r>
      <w:r w:rsidR="00F42462" w:rsidRPr="00355112">
        <w:rPr>
          <w:sz w:val="22"/>
          <w:szCs w:val="22"/>
        </w:rPr>
        <w:t>sewage sludge) as an acceptable fuel.</w:t>
      </w:r>
      <w:r w:rsidR="00537369">
        <w:rPr>
          <w:sz w:val="22"/>
          <w:szCs w:val="22"/>
        </w:rPr>
        <w:t xml:space="preserve"> </w:t>
      </w:r>
      <w:r w:rsidR="00F42462" w:rsidRPr="00355112">
        <w:rPr>
          <w:sz w:val="22"/>
          <w:szCs w:val="22"/>
        </w:rPr>
        <w:t xml:space="preserve"> </w:t>
      </w:r>
      <w:r w:rsidR="000D3F02">
        <w:rPr>
          <w:sz w:val="22"/>
          <w:szCs w:val="22"/>
        </w:rPr>
        <w:t xml:space="preserve">The biosolids would have a solids content of at least 12%.  The material would be </w:t>
      </w:r>
      <w:r w:rsidR="00772E7B">
        <w:rPr>
          <w:sz w:val="22"/>
          <w:szCs w:val="22"/>
        </w:rPr>
        <w:t xml:space="preserve">trucked in </w:t>
      </w:r>
      <w:r w:rsidR="000D3F02">
        <w:rPr>
          <w:sz w:val="22"/>
          <w:szCs w:val="22"/>
        </w:rPr>
        <w:t xml:space="preserve">from the </w:t>
      </w:r>
      <w:r w:rsidR="00DC766F">
        <w:rPr>
          <w:sz w:val="22"/>
          <w:szCs w:val="22"/>
        </w:rPr>
        <w:t xml:space="preserve">Hillsborough </w:t>
      </w:r>
      <w:r w:rsidR="009445E1">
        <w:rPr>
          <w:sz w:val="22"/>
          <w:szCs w:val="22"/>
        </w:rPr>
        <w:t xml:space="preserve">County Falkenburg Advanced WWTP and the </w:t>
      </w:r>
      <w:r w:rsidR="000D3F02">
        <w:rPr>
          <w:sz w:val="22"/>
          <w:szCs w:val="22"/>
        </w:rPr>
        <w:t xml:space="preserve">Valrico and South County Advanced </w:t>
      </w:r>
      <w:r w:rsidR="00420601">
        <w:rPr>
          <w:sz w:val="22"/>
          <w:szCs w:val="22"/>
        </w:rPr>
        <w:t>WWTP</w:t>
      </w:r>
      <w:r w:rsidR="009445E1">
        <w:rPr>
          <w:sz w:val="22"/>
          <w:szCs w:val="22"/>
        </w:rPr>
        <w:t>’s</w:t>
      </w:r>
      <w:r w:rsidR="000D3F02">
        <w:rPr>
          <w:sz w:val="22"/>
          <w:szCs w:val="22"/>
        </w:rPr>
        <w:t>.  In the future similar biosolids may be obtained from other County-owned treatment plants and water reclamation facilities after installation of dewatering facilities.</w:t>
      </w:r>
      <w:r w:rsidR="00DB62D9">
        <w:rPr>
          <w:sz w:val="22"/>
          <w:szCs w:val="22"/>
        </w:rPr>
        <w:t xml:space="preserve">  </w:t>
      </w:r>
    </w:p>
    <w:p w:rsidR="00DB62D9" w:rsidRPr="00DB62D9" w:rsidRDefault="00021D95" w:rsidP="00DB62D9">
      <w:pPr>
        <w:spacing w:after="120"/>
        <w:rPr>
          <w:sz w:val="22"/>
          <w:szCs w:val="22"/>
        </w:rPr>
      </w:pPr>
      <w:r>
        <w:rPr>
          <w:sz w:val="22"/>
        </w:rPr>
        <w:t xml:space="preserve">Refer to Figure </w:t>
      </w:r>
      <w:r w:rsidR="00772E7B">
        <w:rPr>
          <w:sz w:val="22"/>
        </w:rPr>
        <w:t xml:space="preserve">3 above.  </w:t>
      </w:r>
      <w:r w:rsidRPr="008E1548">
        <w:rPr>
          <w:sz w:val="22"/>
        </w:rPr>
        <w:t xml:space="preserve">The biosolids will be directly dumped into the main refuse storage bunker along with </w:t>
      </w:r>
      <w:r>
        <w:rPr>
          <w:sz w:val="22"/>
        </w:rPr>
        <w:t>MSW</w:t>
      </w:r>
      <w:r w:rsidRPr="008E1548">
        <w:rPr>
          <w:sz w:val="22"/>
        </w:rPr>
        <w:t xml:space="preserve">.  </w:t>
      </w:r>
      <w:r w:rsidR="00DB62D9" w:rsidRPr="008E1548">
        <w:rPr>
          <w:sz w:val="22"/>
        </w:rPr>
        <w:t xml:space="preserve">The crane operators will mix the </w:t>
      </w:r>
      <w:r w:rsidR="00DB62D9">
        <w:rPr>
          <w:sz w:val="22"/>
        </w:rPr>
        <w:t xml:space="preserve">WWTP </w:t>
      </w:r>
      <w:r w:rsidR="00DB62D9" w:rsidRPr="008E1548">
        <w:rPr>
          <w:sz w:val="22"/>
        </w:rPr>
        <w:t>biosolids and MSW to achieve a more homogenous fuel.  Once the mixing is complete, the crane operators will pick up the mixed fuel and feed it directly into the boiler hopper.  Hillsborough Cou</w:t>
      </w:r>
      <w:r w:rsidR="00746948">
        <w:rPr>
          <w:sz w:val="22"/>
        </w:rPr>
        <w:t>nty proposes to combust up to 9</w:t>
      </w:r>
      <w:r w:rsidR="00DB62D9" w:rsidRPr="008E1548">
        <w:rPr>
          <w:sz w:val="22"/>
        </w:rPr>
        <w:t>0 wet tons</w:t>
      </w:r>
      <w:r>
        <w:rPr>
          <w:sz w:val="22"/>
        </w:rPr>
        <w:t>/day</w:t>
      </w:r>
      <w:r w:rsidR="00DB62D9" w:rsidRPr="008E1548">
        <w:rPr>
          <w:sz w:val="22"/>
        </w:rPr>
        <w:t xml:space="preserve"> </w:t>
      </w:r>
      <w:r>
        <w:rPr>
          <w:sz w:val="22"/>
        </w:rPr>
        <w:t>(</w:t>
      </w:r>
      <w:r w:rsidR="00DB62D9" w:rsidRPr="008E1548">
        <w:rPr>
          <w:sz w:val="22"/>
        </w:rPr>
        <w:t>as received</w:t>
      </w:r>
      <w:r>
        <w:rPr>
          <w:sz w:val="22"/>
        </w:rPr>
        <w:t>)</w:t>
      </w:r>
      <w:r w:rsidR="00DB62D9" w:rsidRPr="008E1548">
        <w:rPr>
          <w:sz w:val="22"/>
        </w:rPr>
        <w:t xml:space="preserve"> biosolids.  This is </w:t>
      </w:r>
      <w:r w:rsidR="00746948">
        <w:rPr>
          <w:sz w:val="22"/>
        </w:rPr>
        <w:t>5</w:t>
      </w:r>
      <w:r>
        <w:rPr>
          <w:sz w:val="22"/>
        </w:rPr>
        <w:t>%</w:t>
      </w:r>
      <w:r w:rsidR="00DB62D9" w:rsidRPr="008E1548">
        <w:rPr>
          <w:sz w:val="22"/>
        </w:rPr>
        <w:t xml:space="preserve"> of the </w:t>
      </w:r>
      <w:r>
        <w:rPr>
          <w:sz w:val="22"/>
        </w:rPr>
        <w:t xml:space="preserve">facility </w:t>
      </w:r>
      <w:r w:rsidR="00DB62D9" w:rsidRPr="008E1548">
        <w:rPr>
          <w:sz w:val="22"/>
        </w:rPr>
        <w:t>nominal design feed rate of 1,800 tons</w:t>
      </w:r>
      <w:r>
        <w:rPr>
          <w:sz w:val="22"/>
        </w:rPr>
        <w:t xml:space="preserve">/day </w:t>
      </w:r>
      <w:r w:rsidR="00DB62D9" w:rsidRPr="008E1548">
        <w:rPr>
          <w:sz w:val="22"/>
        </w:rPr>
        <w:t xml:space="preserve">of MSW.  The </w:t>
      </w:r>
      <w:r>
        <w:rPr>
          <w:sz w:val="22"/>
        </w:rPr>
        <w:t xml:space="preserve">objective is to achieve </w:t>
      </w:r>
      <w:r w:rsidR="00746948">
        <w:rPr>
          <w:sz w:val="22"/>
        </w:rPr>
        <w:t>5</w:t>
      </w:r>
      <w:r>
        <w:rPr>
          <w:sz w:val="22"/>
        </w:rPr>
        <w:t xml:space="preserve">% biosolids </w:t>
      </w:r>
      <w:r w:rsidR="00F04A3F">
        <w:rPr>
          <w:sz w:val="22"/>
        </w:rPr>
        <w:t xml:space="preserve">(after mixing) </w:t>
      </w:r>
      <w:r>
        <w:rPr>
          <w:sz w:val="22"/>
        </w:rPr>
        <w:t xml:space="preserve">in each </w:t>
      </w:r>
      <w:r w:rsidR="00DB62D9" w:rsidRPr="008E1548">
        <w:rPr>
          <w:sz w:val="22"/>
        </w:rPr>
        <w:t xml:space="preserve">batch fed to </w:t>
      </w:r>
      <w:r w:rsidR="00F04A3F">
        <w:rPr>
          <w:sz w:val="22"/>
        </w:rPr>
        <w:t xml:space="preserve">each </w:t>
      </w:r>
      <w:r w:rsidR="00DB62D9" w:rsidRPr="008E1548">
        <w:rPr>
          <w:sz w:val="22"/>
        </w:rPr>
        <w:t xml:space="preserve">combustor. </w:t>
      </w:r>
    </w:p>
    <w:p w:rsidR="00DB62D9" w:rsidRPr="00DB62D9" w:rsidRDefault="00DB62D9" w:rsidP="00DB62D9">
      <w:pPr>
        <w:spacing w:after="120"/>
        <w:rPr>
          <w:sz w:val="22"/>
          <w:szCs w:val="22"/>
        </w:rPr>
      </w:pPr>
      <w:r w:rsidRPr="008E1548">
        <w:rPr>
          <w:sz w:val="22"/>
          <w:szCs w:val="22"/>
        </w:rPr>
        <w:t>The waste bunke</w:t>
      </w:r>
      <w:r>
        <w:rPr>
          <w:sz w:val="22"/>
          <w:szCs w:val="22"/>
        </w:rPr>
        <w:t>r is enclosed inside the tipping b</w:t>
      </w:r>
      <w:r w:rsidRPr="008E1548">
        <w:rPr>
          <w:sz w:val="22"/>
          <w:szCs w:val="22"/>
        </w:rPr>
        <w:t xml:space="preserve">uilding.  </w:t>
      </w:r>
      <w:r>
        <w:rPr>
          <w:sz w:val="22"/>
          <w:szCs w:val="22"/>
        </w:rPr>
        <w:t>The tipping b</w:t>
      </w:r>
      <w:r w:rsidRPr="008E1548">
        <w:rPr>
          <w:sz w:val="22"/>
          <w:szCs w:val="22"/>
        </w:rPr>
        <w:t xml:space="preserve">uilding is kept at a slight negative pressure by draft fans that </w:t>
      </w:r>
      <w:r w:rsidR="00F04A3F">
        <w:rPr>
          <w:sz w:val="22"/>
          <w:szCs w:val="22"/>
        </w:rPr>
        <w:t xml:space="preserve">provide combustion air to the four MWC.  This minimizes escape of objectionable odors.  </w:t>
      </w:r>
      <w:r w:rsidRPr="008E1548">
        <w:rPr>
          <w:sz w:val="22"/>
          <w:szCs w:val="22"/>
        </w:rPr>
        <w:t xml:space="preserve">The </w:t>
      </w:r>
      <w:r w:rsidR="00F04A3F">
        <w:rPr>
          <w:sz w:val="22"/>
          <w:szCs w:val="22"/>
        </w:rPr>
        <w:t>malo</w:t>
      </w:r>
      <w:r w:rsidRPr="008E1548">
        <w:rPr>
          <w:sz w:val="22"/>
          <w:szCs w:val="22"/>
        </w:rPr>
        <w:t>dor</w:t>
      </w:r>
      <w:r w:rsidR="00F04A3F">
        <w:rPr>
          <w:sz w:val="22"/>
          <w:szCs w:val="22"/>
        </w:rPr>
        <w:t xml:space="preserve">ous compounds are subsequently </w:t>
      </w:r>
      <w:r w:rsidRPr="008E1548">
        <w:rPr>
          <w:sz w:val="22"/>
          <w:szCs w:val="22"/>
        </w:rPr>
        <w:t>destroyed inside the furnace.</w:t>
      </w:r>
    </w:p>
    <w:p w:rsidR="00467307" w:rsidRPr="00746205" w:rsidRDefault="00467307" w:rsidP="00D623D7">
      <w:pPr>
        <w:widowControl w:val="0"/>
        <w:numPr>
          <w:ilvl w:val="0"/>
          <w:numId w:val="8"/>
        </w:numPr>
        <w:spacing w:after="120"/>
        <w:rPr>
          <w:b/>
          <w:caps/>
          <w:sz w:val="22"/>
          <w:szCs w:val="22"/>
        </w:rPr>
      </w:pPr>
      <w:r w:rsidRPr="00746205">
        <w:rPr>
          <w:b/>
          <w:caps/>
          <w:sz w:val="22"/>
          <w:szCs w:val="22"/>
        </w:rPr>
        <w:t>A</w:t>
      </w:r>
      <w:r>
        <w:rPr>
          <w:b/>
          <w:caps/>
          <w:sz w:val="22"/>
          <w:szCs w:val="22"/>
        </w:rPr>
        <w:t>ir pollution regulations and applicability determinations</w:t>
      </w:r>
    </w:p>
    <w:p w:rsidR="00467307" w:rsidRPr="00C61235" w:rsidRDefault="00467307" w:rsidP="00D623D7">
      <w:pPr>
        <w:widowControl w:val="0"/>
        <w:numPr>
          <w:ilvl w:val="1"/>
          <w:numId w:val="8"/>
        </w:numPr>
        <w:tabs>
          <w:tab w:val="left" w:pos="450"/>
        </w:tabs>
        <w:spacing w:after="120"/>
        <w:ind w:left="446" w:hanging="446"/>
        <w:rPr>
          <w:b/>
          <w:sz w:val="22"/>
          <w:szCs w:val="22"/>
        </w:rPr>
      </w:pPr>
      <w:r w:rsidRPr="00C61235">
        <w:rPr>
          <w:b/>
          <w:sz w:val="22"/>
          <w:szCs w:val="22"/>
        </w:rPr>
        <w:t>Department Regulations</w:t>
      </w:r>
    </w:p>
    <w:p w:rsidR="00467307" w:rsidRDefault="00467307" w:rsidP="00467307">
      <w:pPr>
        <w:spacing w:after="120"/>
        <w:rPr>
          <w:sz w:val="22"/>
          <w:szCs w:val="22"/>
        </w:rPr>
      </w:pPr>
      <w:r>
        <w:rPr>
          <w:sz w:val="22"/>
          <w:szCs w:val="22"/>
        </w:rPr>
        <w:t xml:space="preserve">Projects at stationary sources with the potential to emit air pollution are </w:t>
      </w:r>
      <w:r w:rsidRPr="000302D6">
        <w:rPr>
          <w:sz w:val="22"/>
          <w:szCs w:val="22"/>
        </w:rPr>
        <w:t>subject to the applicable environmental laws specified in Section 403 of the Florida Statutes (F.S.)</w:t>
      </w:r>
      <w:r>
        <w:rPr>
          <w:sz w:val="22"/>
          <w:szCs w:val="22"/>
        </w:rPr>
        <w:t xml:space="preserve">.  The statutes </w:t>
      </w:r>
      <w:r w:rsidRPr="000302D6">
        <w:rPr>
          <w:sz w:val="22"/>
          <w:szCs w:val="22"/>
        </w:rPr>
        <w:t>authoriz</w:t>
      </w:r>
      <w:r>
        <w:rPr>
          <w:sz w:val="22"/>
          <w:szCs w:val="22"/>
        </w:rPr>
        <w:t>e</w:t>
      </w:r>
      <w:r w:rsidRPr="000302D6">
        <w:rPr>
          <w:sz w:val="22"/>
          <w:szCs w:val="22"/>
        </w:rPr>
        <w:t xml:space="preserve"> the Department of Environmental Protection </w:t>
      </w:r>
      <w:r>
        <w:rPr>
          <w:sz w:val="22"/>
          <w:szCs w:val="22"/>
        </w:rPr>
        <w:t xml:space="preserve">(Department) </w:t>
      </w:r>
      <w:r w:rsidRPr="000302D6">
        <w:rPr>
          <w:sz w:val="22"/>
          <w:szCs w:val="22"/>
        </w:rPr>
        <w:t xml:space="preserve">to establish regulations regarding air quality as part of the Florida Administrative Code (F.A.C.), which includes the following </w:t>
      </w:r>
      <w:r>
        <w:rPr>
          <w:sz w:val="22"/>
          <w:szCs w:val="22"/>
        </w:rPr>
        <w:t xml:space="preserve">applicable </w:t>
      </w:r>
      <w:r w:rsidRPr="000302D6">
        <w:rPr>
          <w:sz w:val="22"/>
          <w:szCs w:val="22"/>
        </w:rPr>
        <w:t>chapters:</w:t>
      </w:r>
    </w:p>
    <w:p w:rsidR="00467307" w:rsidRDefault="00467307" w:rsidP="00467307">
      <w:pPr>
        <w:tabs>
          <w:tab w:val="left" w:pos="450"/>
        </w:tabs>
        <w:spacing w:after="60"/>
        <w:outlineLvl w:val="0"/>
        <w:rPr>
          <w:b/>
          <w:sz w:val="22"/>
          <w:szCs w:val="22"/>
          <w:u w:val="single"/>
        </w:rPr>
      </w:pPr>
      <w:proofErr w:type="gramStart"/>
      <w:r>
        <w:rPr>
          <w:b/>
          <w:bCs/>
          <w:sz w:val="22"/>
          <w:szCs w:val="22"/>
        </w:rPr>
        <w:t xml:space="preserve">Table </w:t>
      </w:r>
      <w:r w:rsidR="00542036">
        <w:rPr>
          <w:b/>
          <w:bCs/>
          <w:sz w:val="22"/>
          <w:szCs w:val="22"/>
        </w:rPr>
        <w:t>1</w:t>
      </w:r>
      <w:r>
        <w:rPr>
          <w:b/>
          <w:bCs/>
          <w:sz w:val="22"/>
          <w:szCs w:val="22"/>
        </w:rPr>
        <w:t>.</w:t>
      </w:r>
      <w:proofErr w:type="gramEnd"/>
      <w:r>
        <w:rPr>
          <w:b/>
          <w:bCs/>
          <w:sz w:val="22"/>
          <w:szCs w:val="22"/>
        </w:rPr>
        <w:t xml:space="preserve">  Applicable Air-Related Rules from the Florida Administrative Code</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1620"/>
        <w:gridCol w:w="7830"/>
      </w:tblGrid>
      <w:tr w:rsidR="00467307" w:rsidRPr="001C71F6" w:rsidTr="00467307">
        <w:trPr>
          <w:trHeight w:val="147"/>
        </w:trPr>
        <w:tc>
          <w:tcPr>
            <w:tcW w:w="1620" w:type="dxa"/>
            <w:shd w:val="clear" w:color="auto" w:fill="auto"/>
          </w:tcPr>
          <w:p w:rsidR="00467307" w:rsidRPr="001C71F6" w:rsidRDefault="00467307" w:rsidP="00542036">
            <w:pPr>
              <w:pStyle w:val="Default"/>
              <w:rPr>
                <w:sz w:val="22"/>
                <w:szCs w:val="22"/>
              </w:rPr>
            </w:pPr>
            <w:r>
              <w:rPr>
                <w:b/>
                <w:bCs/>
                <w:sz w:val="22"/>
                <w:szCs w:val="22"/>
              </w:rPr>
              <w:t>Chapter</w:t>
            </w:r>
          </w:p>
        </w:tc>
        <w:tc>
          <w:tcPr>
            <w:tcW w:w="7830" w:type="dxa"/>
            <w:shd w:val="clear" w:color="auto" w:fill="auto"/>
          </w:tcPr>
          <w:p w:rsidR="00467307" w:rsidRPr="001C71F6" w:rsidRDefault="00467307" w:rsidP="00542036">
            <w:pPr>
              <w:pStyle w:val="Default"/>
              <w:rPr>
                <w:sz w:val="22"/>
                <w:szCs w:val="22"/>
              </w:rPr>
            </w:pPr>
            <w:r w:rsidRPr="001C71F6">
              <w:rPr>
                <w:b/>
                <w:bCs/>
                <w:sz w:val="22"/>
                <w:szCs w:val="22"/>
              </w:rPr>
              <w:t xml:space="preserve">Description </w:t>
            </w:r>
          </w:p>
        </w:tc>
      </w:tr>
      <w:tr w:rsidR="00467307" w:rsidRPr="001C71F6" w:rsidTr="00467307">
        <w:trPr>
          <w:trHeight w:val="145"/>
        </w:trPr>
        <w:tc>
          <w:tcPr>
            <w:tcW w:w="1620" w:type="dxa"/>
          </w:tcPr>
          <w:p w:rsidR="00467307" w:rsidRPr="001C71F6" w:rsidRDefault="00CB6032" w:rsidP="00542036">
            <w:pPr>
              <w:pStyle w:val="Default"/>
              <w:rPr>
                <w:sz w:val="22"/>
                <w:szCs w:val="22"/>
              </w:rPr>
            </w:pPr>
            <w:hyperlink r:id="rId20" w:history="1">
              <w:r w:rsidR="00467307">
                <w:rPr>
                  <w:rStyle w:val="Hyperlink"/>
                  <w:sz w:val="22"/>
                  <w:szCs w:val="22"/>
                </w:rPr>
                <w:t>62-4</w:t>
              </w:r>
            </w:hyperlink>
            <w:r w:rsidR="00467307">
              <w:rPr>
                <w:sz w:val="22"/>
                <w:szCs w:val="22"/>
              </w:rPr>
              <w:t xml:space="preserve"> </w:t>
            </w:r>
          </w:p>
        </w:tc>
        <w:tc>
          <w:tcPr>
            <w:tcW w:w="7830" w:type="dxa"/>
          </w:tcPr>
          <w:p w:rsidR="00467307" w:rsidRPr="001C71F6" w:rsidRDefault="00467307" w:rsidP="00542036">
            <w:pPr>
              <w:pStyle w:val="Default"/>
              <w:rPr>
                <w:sz w:val="22"/>
                <w:szCs w:val="22"/>
              </w:rPr>
            </w:pPr>
            <w:r w:rsidRPr="001C71F6">
              <w:rPr>
                <w:sz w:val="22"/>
                <w:szCs w:val="22"/>
              </w:rPr>
              <w:t xml:space="preserve">Permits </w:t>
            </w:r>
          </w:p>
        </w:tc>
      </w:tr>
      <w:tr w:rsidR="00467307" w:rsidRPr="001C71F6" w:rsidTr="00467307">
        <w:trPr>
          <w:trHeight w:val="145"/>
        </w:trPr>
        <w:tc>
          <w:tcPr>
            <w:tcW w:w="1620" w:type="dxa"/>
          </w:tcPr>
          <w:p w:rsidR="00467307" w:rsidRDefault="00CB6032" w:rsidP="00542036">
            <w:pPr>
              <w:pStyle w:val="Default"/>
              <w:rPr>
                <w:sz w:val="22"/>
                <w:szCs w:val="22"/>
              </w:rPr>
            </w:pPr>
            <w:hyperlink r:id="rId21" w:history="1">
              <w:r w:rsidR="00467307">
                <w:rPr>
                  <w:rStyle w:val="Hyperlink"/>
                  <w:sz w:val="22"/>
                  <w:szCs w:val="22"/>
                </w:rPr>
                <w:t>62-17</w:t>
              </w:r>
            </w:hyperlink>
            <w:r w:rsidR="00467307">
              <w:rPr>
                <w:sz w:val="22"/>
                <w:szCs w:val="22"/>
              </w:rPr>
              <w:t xml:space="preserve"> </w:t>
            </w:r>
          </w:p>
        </w:tc>
        <w:tc>
          <w:tcPr>
            <w:tcW w:w="7830" w:type="dxa"/>
          </w:tcPr>
          <w:p w:rsidR="00467307" w:rsidRPr="001C71F6" w:rsidRDefault="00467307" w:rsidP="00542036">
            <w:pPr>
              <w:pStyle w:val="Default"/>
              <w:rPr>
                <w:sz w:val="22"/>
                <w:szCs w:val="22"/>
              </w:rPr>
            </w:pPr>
            <w:r>
              <w:rPr>
                <w:sz w:val="22"/>
                <w:szCs w:val="22"/>
              </w:rPr>
              <w:t>Power Plant Siting</w:t>
            </w:r>
          </w:p>
        </w:tc>
      </w:tr>
      <w:tr w:rsidR="00467307" w:rsidRPr="001C71F6" w:rsidTr="00467307">
        <w:trPr>
          <w:trHeight w:val="145"/>
        </w:trPr>
        <w:tc>
          <w:tcPr>
            <w:tcW w:w="1620" w:type="dxa"/>
          </w:tcPr>
          <w:p w:rsidR="00467307" w:rsidRPr="001C71F6" w:rsidRDefault="00CB6032" w:rsidP="00542036">
            <w:pPr>
              <w:pStyle w:val="Default"/>
              <w:rPr>
                <w:sz w:val="22"/>
                <w:szCs w:val="22"/>
              </w:rPr>
            </w:pPr>
            <w:hyperlink r:id="rId22" w:history="1">
              <w:r w:rsidR="00467307" w:rsidRPr="00424C81">
                <w:rPr>
                  <w:rStyle w:val="Hyperlink"/>
                  <w:sz w:val="22"/>
                  <w:szCs w:val="22"/>
                </w:rPr>
                <w:t>62-204</w:t>
              </w:r>
            </w:hyperlink>
            <w:r w:rsidR="00467307">
              <w:rPr>
                <w:sz w:val="22"/>
                <w:szCs w:val="22"/>
              </w:rPr>
              <w:t xml:space="preserve"> </w:t>
            </w:r>
          </w:p>
        </w:tc>
        <w:tc>
          <w:tcPr>
            <w:tcW w:w="7830" w:type="dxa"/>
          </w:tcPr>
          <w:p w:rsidR="00467307" w:rsidRPr="001C71F6" w:rsidRDefault="00467307" w:rsidP="00542036">
            <w:pPr>
              <w:pStyle w:val="Default"/>
              <w:rPr>
                <w:sz w:val="22"/>
                <w:szCs w:val="22"/>
              </w:rPr>
            </w:pPr>
            <w:r w:rsidRPr="001C71F6">
              <w:rPr>
                <w:sz w:val="22"/>
                <w:szCs w:val="22"/>
              </w:rPr>
              <w:t xml:space="preserve">Air Pollution Control – General Provisions </w:t>
            </w:r>
          </w:p>
        </w:tc>
      </w:tr>
      <w:tr w:rsidR="00467307" w:rsidRPr="001C71F6" w:rsidTr="00467307">
        <w:trPr>
          <w:trHeight w:val="145"/>
        </w:trPr>
        <w:tc>
          <w:tcPr>
            <w:tcW w:w="1620" w:type="dxa"/>
          </w:tcPr>
          <w:p w:rsidR="00467307" w:rsidRPr="001C71F6" w:rsidRDefault="00CB6032" w:rsidP="00542036">
            <w:pPr>
              <w:pStyle w:val="Default"/>
              <w:rPr>
                <w:sz w:val="22"/>
                <w:szCs w:val="22"/>
              </w:rPr>
            </w:pPr>
            <w:hyperlink r:id="rId23" w:history="1">
              <w:r w:rsidR="00467307" w:rsidRPr="00424C81">
                <w:rPr>
                  <w:rStyle w:val="Hyperlink"/>
                  <w:sz w:val="22"/>
                  <w:szCs w:val="22"/>
                </w:rPr>
                <w:t>62-210</w:t>
              </w:r>
            </w:hyperlink>
            <w:r w:rsidR="00467307">
              <w:rPr>
                <w:sz w:val="22"/>
                <w:szCs w:val="22"/>
              </w:rPr>
              <w:t xml:space="preserve"> </w:t>
            </w:r>
          </w:p>
        </w:tc>
        <w:tc>
          <w:tcPr>
            <w:tcW w:w="7830" w:type="dxa"/>
          </w:tcPr>
          <w:p w:rsidR="00467307" w:rsidRPr="001C71F6" w:rsidRDefault="00467307" w:rsidP="00542036">
            <w:pPr>
              <w:pStyle w:val="Default"/>
              <w:rPr>
                <w:sz w:val="22"/>
                <w:szCs w:val="22"/>
              </w:rPr>
            </w:pPr>
            <w:r w:rsidRPr="001C71F6">
              <w:rPr>
                <w:sz w:val="22"/>
                <w:szCs w:val="22"/>
              </w:rPr>
              <w:t xml:space="preserve">Stationary Sources of Air Pollution – General Requirements </w:t>
            </w:r>
          </w:p>
        </w:tc>
      </w:tr>
      <w:tr w:rsidR="00467307" w:rsidRPr="001C71F6" w:rsidTr="00467307">
        <w:trPr>
          <w:trHeight w:val="145"/>
        </w:trPr>
        <w:tc>
          <w:tcPr>
            <w:tcW w:w="1620" w:type="dxa"/>
          </w:tcPr>
          <w:p w:rsidR="00467307" w:rsidRPr="001C71F6" w:rsidRDefault="00CB6032" w:rsidP="00542036">
            <w:pPr>
              <w:pStyle w:val="Default"/>
              <w:rPr>
                <w:sz w:val="22"/>
                <w:szCs w:val="22"/>
              </w:rPr>
            </w:pPr>
            <w:hyperlink r:id="rId24" w:history="1">
              <w:r w:rsidR="00467307" w:rsidRPr="00424C81">
                <w:rPr>
                  <w:rStyle w:val="Hyperlink"/>
                  <w:sz w:val="22"/>
                  <w:szCs w:val="22"/>
                </w:rPr>
                <w:t>62-212</w:t>
              </w:r>
            </w:hyperlink>
            <w:r w:rsidR="00467307">
              <w:rPr>
                <w:sz w:val="22"/>
                <w:szCs w:val="22"/>
              </w:rPr>
              <w:t xml:space="preserve"> </w:t>
            </w:r>
          </w:p>
        </w:tc>
        <w:tc>
          <w:tcPr>
            <w:tcW w:w="7830" w:type="dxa"/>
          </w:tcPr>
          <w:p w:rsidR="00467307" w:rsidRPr="001C71F6" w:rsidRDefault="00467307" w:rsidP="00542036">
            <w:pPr>
              <w:pStyle w:val="Default"/>
              <w:rPr>
                <w:sz w:val="22"/>
                <w:szCs w:val="22"/>
              </w:rPr>
            </w:pPr>
            <w:r w:rsidRPr="001C71F6">
              <w:rPr>
                <w:sz w:val="22"/>
                <w:szCs w:val="22"/>
              </w:rPr>
              <w:t xml:space="preserve">Stationary Sources – Preconstruction Review </w:t>
            </w:r>
          </w:p>
        </w:tc>
      </w:tr>
      <w:tr w:rsidR="00467307" w:rsidRPr="001C71F6" w:rsidTr="00467307">
        <w:trPr>
          <w:trHeight w:val="145"/>
        </w:trPr>
        <w:tc>
          <w:tcPr>
            <w:tcW w:w="1620" w:type="dxa"/>
          </w:tcPr>
          <w:p w:rsidR="00467307" w:rsidRPr="001C71F6" w:rsidRDefault="00CB6032" w:rsidP="00542036">
            <w:pPr>
              <w:pStyle w:val="Default"/>
              <w:rPr>
                <w:sz w:val="22"/>
                <w:szCs w:val="22"/>
              </w:rPr>
            </w:pPr>
            <w:hyperlink r:id="rId25" w:history="1">
              <w:r w:rsidR="00467307" w:rsidRPr="00424C81">
                <w:rPr>
                  <w:rStyle w:val="Hyperlink"/>
                  <w:sz w:val="22"/>
                  <w:szCs w:val="22"/>
                </w:rPr>
                <w:t>62-213</w:t>
              </w:r>
            </w:hyperlink>
            <w:r w:rsidR="00467307">
              <w:rPr>
                <w:sz w:val="22"/>
                <w:szCs w:val="22"/>
              </w:rPr>
              <w:t xml:space="preserve"> </w:t>
            </w:r>
          </w:p>
        </w:tc>
        <w:tc>
          <w:tcPr>
            <w:tcW w:w="7830" w:type="dxa"/>
          </w:tcPr>
          <w:p w:rsidR="00467307" w:rsidRPr="001C71F6" w:rsidRDefault="00467307" w:rsidP="00542036">
            <w:pPr>
              <w:pStyle w:val="Default"/>
              <w:rPr>
                <w:sz w:val="22"/>
                <w:szCs w:val="22"/>
              </w:rPr>
            </w:pPr>
            <w:r w:rsidRPr="001C71F6">
              <w:rPr>
                <w:sz w:val="22"/>
                <w:szCs w:val="22"/>
              </w:rPr>
              <w:t xml:space="preserve">Operation Permits for Major Sources (Title V) of Air Pollution </w:t>
            </w:r>
          </w:p>
        </w:tc>
      </w:tr>
      <w:tr w:rsidR="00467307" w:rsidRPr="001C71F6" w:rsidTr="00467307">
        <w:trPr>
          <w:trHeight w:val="145"/>
        </w:trPr>
        <w:tc>
          <w:tcPr>
            <w:tcW w:w="1620" w:type="dxa"/>
          </w:tcPr>
          <w:p w:rsidR="00467307" w:rsidRPr="001C71F6" w:rsidRDefault="00CB6032" w:rsidP="00542036">
            <w:pPr>
              <w:pStyle w:val="Default"/>
              <w:rPr>
                <w:sz w:val="22"/>
                <w:szCs w:val="22"/>
              </w:rPr>
            </w:pPr>
            <w:hyperlink r:id="rId26" w:history="1">
              <w:r w:rsidR="00467307" w:rsidRPr="00424C81">
                <w:rPr>
                  <w:rStyle w:val="Hyperlink"/>
                  <w:sz w:val="22"/>
                  <w:szCs w:val="22"/>
                </w:rPr>
                <w:t>62-296</w:t>
              </w:r>
            </w:hyperlink>
            <w:r w:rsidR="00467307">
              <w:rPr>
                <w:sz w:val="22"/>
                <w:szCs w:val="22"/>
              </w:rPr>
              <w:t xml:space="preserve"> </w:t>
            </w:r>
          </w:p>
        </w:tc>
        <w:tc>
          <w:tcPr>
            <w:tcW w:w="7830" w:type="dxa"/>
          </w:tcPr>
          <w:p w:rsidR="00467307" w:rsidRPr="001C71F6" w:rsidRDefault="00467307" w:rsidP="00542036">
            <w:pPr>
              <w:pStyle w:val="Default"/>
              <w:rPr>
                <w:sz w:val="22"/>
                <w:szCs w:val="22"/>
              </w:rPr>
            </w:pPr>
            <w:r w:rsidRPr="001C71F6">
              <w:rPr>
                <w:sz w:val="22"/>
                <w:szCs w:val="22"/>
              </w:rPr>
              <w:t xml:space="preserve">Stationary Sources – Emission Standards </w:t>
            </w:r>
          </w:p>
        </w:tc>
      </w:tr>
      <w:tr w:rsidR="00467307" w:rsidRPr="001C71F6" w:rsidTr="00467307">
        <w:trPr>
          <w:trHeight w:val="145"/>
        </w:trPr>
        <w:tc>
          <w:tcPr>
            <w:tcW w:w="1620" w:type="dxa"/>
          </w:tcPr>
          <w:p w:rsidR="00467307" w:rsidRPr="001C71F6" w:rsidRDefault="00CB6032" w:rsidP="00542036">
            <w:pPr>
              <w:pStyle w:val="Default"/>
              <w:rPr>
                <w:sz w:val="22"/>
                <w:szCs w:val="22"/>
              </w:rPr>
            </w:pPr>
            <w:hyperlink r:id="rId27" w:history="1">
              <w:r w:rsidR="00467307">
                <w:rPr>
                  <w:rStyle w:val="Hyperlink"/>
                  <w:sz w:val="22"/>
                  <w:szCs w:val="22"/>
                </w:rPr>
                <w:t>62-297</w:t>
              </w:r>
            </w:hyperlink>
            <w:r w:rsidR="00467307">
              <w:rPr>
                <w:sz w:val="22"/>
                <w:szCs w:val="22"/>
              </w:rPr>
              <w:t xml:space="preserve"> </w:t>
            </w:r>
          </w:p>
        </w:tc>
        <w:tc>
          <w:tcPr>
            <w:tcW w:w="7830" w:type="dxa"/>
          </w:tcPr>
          <w:p w:rsidR="00467307" w:rsidRPr="001C71F6" w:rsidRDefault="00467307" w:rsidP="00542036">
            <w:pPr>
              <w:pStyle w:val="Default"/>
              <w:rPr>
                <w:sz w:val="22"/>
                <w:szCs w:val="22"/>
              </w:rPr>
            </w:pPr>
            <w:r w:rsidRPr="001C71F6">
              <w:rPr>
                <w:sz w:val="22"/>
                <w:szCs w:val="22"/>
              </w:rPr>
              <w:t xml:space="preserve">Stationary Sources – Emissions Monitoring </w:t>
            </w:r>
          </w:p>
        </w:tc>
      </w:tr>
    </w:tbl>
    <w:p w:rsidR="00467307" w:rsidRPr="00C61235" w:rsidRDefault="00467307" w:rsidP="00D623D7">
      <w:pPr>
        <w:widowControl w:val="0"/>
        <w:numPr>
          <w:ilvl w:val="1"/>
          <w:numId w:val="8"/>
        </w:numPr>
        <w:tabs>
          <w:tab w:val="left" w:pos="450"/>
        </w:tabs>
        <w:spacing w:before="120" w:after="120"/>
        <w:ind w:left="446" w:hanging="446"/>
        <w:rPr>
          <w:b/>
          <w:sz w:val="22"/>
          <w:szCs w:val="22"/>
        </w:rPr>
      </w:pPr>
      <w:r w:rsidRPr="00C61235">
        <w:rPr>
          <w:b/>
          <w:sz w:val="22"/>
          <w:szCs w:val="22"/>
        </w:rPr>
        <w:t>Federal Regulations</w:t>
      </w:r>
    </w:p>
    <w:p w:rsidR="00467307" w:rsidRDefault="00467307" w:rsidP="00467307">
      <w:pPr>
        <w:pStyle w:val="Default"/>
        <w:spacing w:after="120"/>
        <w:rPr>
          <w:sz w:val="22"/>
          <w:szCs w:val="22"/>
        </w:rPr>
      </w:pPr>
      <w:r w:rsidRPr="00831202">
        <w:rPr>
          <w:sz w:val="22"/>
          <w:szCs w:val="22"/>
        </w:rPr>
        <w:t xml:space="preserve">The U.S. Environmental Protection Agency (EPA) establishes air quality regulations in 40 CFR 60 that identify New Source Performance Standards (NSPS) for a variety of industrial activities.  EPA also establishes the minimum emission guidelines and compliance schedules for existing facilities of certain industries in </w:t>
      </w:r>
      <w:r w:rsidRPr="00831202">
        <w:rPr>
          <w:sz w:val="22"/>
          <w:szCs w:val="22"/>
        </w:rPr>
        <w:br/>
        <w:t xml:space="preserve">40 CFR 60.  40 CFR 61 generally specifies National Emission Standards for Hazardous Air Pollutants (NESHAP).  40 CFR 63 generally specifies NESHAP provisions based on the Maximum Achievable Control Technology </w:t>
      </w:r>
      <w:r w:rsidRPr="00831202">
        <w:rPr>
          <w:sz w:val="22"/>
          <w:szCs w:val="22"/>
        </w:rPr>
        <w:lastRenderedPageBreak/>
        <w:t xml:space="preserve">(MACT) for given source categories. </w:t>
      </w:r>
      <w:r w:rsidR="00420601">
        <w:rPr>
          <w:sz w:val="22"/>
          <w:szCs w:val="22"/>
        </w:rPr>
        <w:t xml:space="preserve"> </w:t>
      </w:r>
      <w:r w:rsidR="00420601" w:rsidRPr="00831202">
        <w:rPr>
          <w:sz w:val="22"/>
          <w:szCs w:val="22"/>
        </w:rPr>
        <w:t xml:space="preserve">Federal regulations adopted by reference are given in Rule 62-204.800, F.A.C.  State regulations approved by EPA are given in 40 CFR 52, Subpart K – Florida; also known as the State Implementation Plan (SIP) for Florida.  </w:t>
      </w:r>
      <w:hyperlink r:id="rId28" w:history="1">
        <w:r w:rsidR="00420601" w:rsidRPr="00831202">
          <w:rPr>
            <w:rStyle w:val="Hyperlink"/>
            <w:sz w:val="22"/>
            <w:szCs w:val="22"/>
          </w:rPr>
          <w:t>Link to 40 CFR 52, Subpart K</w:t>
        </w:r>
      </w:hyperlink>
      <w:r w:rsidR="00420601" w:rsidRPr="00831202">
        <w:rPr>
          <w:sz w:val="22"/>
          <w:szCs w:val="22"/>
        </w:rPr>
        <w:t xml:space="preserve">  </w:t>
      </w:r>
    </w:p>
    <w:p w:rsidR="00467307" w:rsidRPr="00831202" w:rsidRDefault="008355D4" w:rsidP="00467307">
      <w:pPr>
        <w:tabs>
          <w:tab w:val="left" w:pos="450"/>
        </w:tabs>
        <w:spacing w:after="120"/>
        <w:outlineLvl w:val="0"/>
        <w:rPr>
          <w:sz w:val="22"/>
          <w:szCs w:val="22"/>
        </w:rPr>
      </w:pPr>
      <w:r>
        <w:rPr>
          <w:sz w:val="22"/>
          <w:szCs w:val="22"/>
        </w:rPr>
        <w:t xml:space="preserve">As previously mentioned, the </w:t>
      </w:r>
      <w:r w:rsidR="00467307" w:rsidRPr="00831202">
        <w:rPr>
          <w:sz w:val="22"/>
          <w:szCs w:val="22"/>
        </w:rPr>
        <w:t xml:space="preserve">Department’s MWC Rule </w:t>
      </w:r>
      <w:r>
        <w:rPr>
          <w:sz w:val="22"/>
          <w:szCs w:val="22"/>
        </w:rPr>
        <w:t xml:space="preserve">(applicable to Units 1, 2 and 3) </w:t>
      </w:r>
      <w:r w:rsidR="00467307" w:rsidRPr="00831202">
        <w:rPr>
          <w:sz w:val="22"/>
          <w:szCs w:val="22"/>
        </w:rPr>
        <w:t>is based on 40 CFR 60, Subpart Cb - Emissions Guidelines</w:t>
      </w:r>
      <w:r>
        <w:rPr>
          <w:sz w:val="22"/>
          <w:szCs w:val="22"/>
        </w:rPr>
        <w:t xml:space="preserve"> </w:t>
      </w:r>
      <w:r w:rsidR="00467307" w:rsidRPr="00831202">
        <w:rPr>
          <w:sz w:val="22"/>
          <w:szCs w:val="22"/>
        </w:rPr>
        <w:t xml:space="preserve">was promulgated by EPA in accordance with section 111(d) and section 129 of the CAA and 40 CFR 60, Subpart B.  </w:t>
      </w:r>
      <w:hyperlink r:id="rId29" w:history="1">
        <w:r w:rsidR="00467307" w:rsidRPr="00831202">
          <w:rPr>
            <w:rStyle w:val="Hyperlink"/>
            <w:sz w:val="22"/>
            <w:szCs w:val="22"/>
          </w:rPr>
          <w:t>Link to Subpart Cb</w:t>
        </w:r>
      </w:hyperlink>
      <w:r w:rsidR="00467307" w:rsidRPr="00831202">
        <w:rPr>
          <w:sz w:val="22"/>
          <w:szCs w:val="22"/>
        </w:rPr>
        <w:t xml:space="preserve">  Many of the definitions and terms used in Subpart Cb are referenced to </w:t>
      </w:r>
      <w:r>
        <w:rPr>
          <w:sz w:val="22"/>
          <w:szCs w:val="22"/>
        </w:rPr>
        <w:t xml:space="preserve">40 CFR 60, </w:t>
      </w:r>
      <w:r w:rsidR="00467307" w:rsidRPr="00831202">
        <w:rPr>
          <w:sz w:val="22"/>
          <w:szCs w:val="22"/>
        </w:rPr>
        <w:t xml:space="preserve">Subpart Eb, which applies to </w:t>
      </w:r>
      <w:r>
        <w:rPr>
          <w:sz w:val="22"/>
          <w:szCs w:val="22"/>
        </w:rPr>
        <w:t>Unit 4</w:t>
      </w:r>
      <w:r w:rsidR="00467307" w:rsidRPr="00831202">
        <w:rPr>
          <w:sz w:val="22"/>
          <w:szCs w:val="22"/>
        </w:rPr>
        <w:t xml:space="preserve">.  </w:t>
      </w:r>
      <w:hyperlink r:id="rId30" w:history="1">
        <w:r w:rsidR="00467307" w:rsidRPr="00831202">
          <w:rPr>
            <w:rStyle w:val="Hyperlink"/>
            <w:sz w:val="22"/>
            <w:szCs w:val="22"/>
          </w:rPr>
          <w:t>Link to Subpart Eb</w:t>
        </w:r>
      </w:hyperlink>
      <w:r w:rsidR="00467307" w:rsidRPr="00831202">
        <w:rPr>
          <w:sz w:val="22"/>
          <w:szCs w:val="22"/>
        </w:rPr>
        <w:t xml:space="preserve"> </w:t>
      </w:r>
    </w:p>
    <w:p w:rsidR="00467307" w:rsidRPr="00831202" w:rsidRDefault="00467307" w:rsidP="00467307">
      <w:pPr>
        <w:tabs>
          <w:tab w:val="left" w:pos="450"/>
        </w:tabs>
        <w:spacing w:after="120"/>
        <w:outlineLvl w:val="0"/>
        <w:rPr>
          <w:sz w:val="22"/>
          <w:szCs w:val="22"/>
        </w:rPr>
      </w:pPr>
      <w:r w:rsidRPr="00831202">
        <w:rPr>
          <w:sz w:val="22"/>
          <w:szCs w:val="22"/>
        </w:rPr>
        <w:t xml:space="preserve">The Department’s MWC rule (effective May 31, 2007) was approved by EPA.  It is listed in 40 CFR 62, </w:t>
      </w:r>
      <w:r w:rsidR="008355D4">
        <w:rPr>
          <w:sz w:val="22"/>
          <w:szCs w:val="22"/>
        </w:rPr>
        <w:br/>
      </w:r>
      <w:r w:rsidRPr="00831202">
        <w:rPr>
          <w:sz w:val="22"/>
          <w:szCs w:val="22"/>
        </w:rPr>
        <w:t xml:space="preserve">Subpart K-Approval and Promulgation of State Plans for Designated Facilities and Pollutants – Florida; specifically Section 40 CFR 62.2355 (adopted by EPA December 30, 2010, amended February 9, 2012), available at the following link:  </w:t>
      </w:r>
      <w:hyperlink r:id="rId31" w:history="1">
        <w:r w:rsidRPr="00831202">
          <w:rPr>
            <w:rStyle w:val="Hyperlink"/>
            <w:sz w:val="22"/>
            <w:szCs w:val="22"/>
          </w:rPr>
          <w:t>Department’s MWC Rule Approval</w:t>
        </w:r>
      </w:hyperlink>
      <w:r w:rsidRPr="00831202">
        <w:rPr>
          <w:sz w:val="22"/>
          <w:szCs w:val="22"/>
        </w:rPr>
        <w:t xml:space="preserve">  </w:t>
      </w:r>
    </w:p>
    <w:p w:rsidR="00467307" w:rsidRPr="00C61235" w:rsidRDefault="00467307" w:rsidP="00D623D7">
      <w:pPr>
        <w:widowControl w:val="0"/>
        <w:numPr>
          <w:ilvl w:val="1"/>
          <w:numId w:val="8"/>
        </w:numPr>
        <w:tabs>
          <w:tab w:val="left" w:pos="450"/>
        </w:tabs>
        <w:spacing w:after="120"/>
        <w:ind w:left="446" w:hanging="446"/>
        <w:rPr>
          <w:b/>
          <w:sz w:val="22"/>
          <w:szCs w:val="22"/>
        </w:rPr>
      </w:pPr>
      <w:r w:rsidRPr="00C61235">
        <w:rPr>
          <w:b/>
          <w:sz w:val="22"/>
          <w:szCs w:val="22"/>
        </w:rPr>
        <w:t>General PSD Major Stationary Source Applicability</w:t>
      </w:r>
    </w:p>
    <w:p w:rsidR="00467307" w:rsidRDefault="00467307" w:rsidP="00467307">
      <w:pPr>
        <w:widowControl w:val="0"/>
        <w:spacing w:after="120"/>
        <w:rPr>
          <w:rFonts w:eastAsia="Calibri"/>
          <w:sz w:val="22"/>
          <w:szCs w:val="22"/>
        </w:rPr>
      </w:pPr>
      <w:r w:rsidRPr="005C0768">
        <w:rPr>
          <w:rFonts w:eastAsia="Calibri"/>
          <w:sz w:val="22"/>
          <w:szCs w:val="22"/>
        </w:rPr>
        <w:t xml:space="preserve">The Department regulates major stationary sources in accordance with Florida’s PSD program pursuant to Rule 62-212.400, F.A.C.  PSD preconstruction review is required in areas that are currently in attainment with the state and federal </w:t>
      </w:r>
      <w:r>
        <w:rPr>
          <w:rFonts w:eastAsia="Calibri"/>
          <w:sz w:val="22"/>
          <w:szCs w:val="22"/>
        </w:rPr>
        <w:t>ambient air quality standards (</w:t>
      </w:r>
      <w:r w:rsidRPr="005C0768">
        <w:rPr>
          <w:rFonts w:eastAsia="Calibri"/>
          <w:sz w:val="22"/>
          <w:szCs w:val="22"/>
        </w:rPr>
        <w:t>AAQS</w:t>
      </w:r>
      <w:r>
        <w:rPr>
          <w:rFonts w:eastAsia="Calibri"/>
          <w:sz w:val="22"/>
          <w:szCs w:val="22"/>
        </w:rPr>
        <w:t>)</w:t>
      </w:r>
      <w:r w:rsidRPr="005C0768">
        <w:rPr>
          <w:rFonts w:eastAsia="Calibri"/>
          <w:sz w:val="22"/>
          <w:szCs w:val="22"/>
        </w:rPr>
        <w:t xml:space="preserve"> or areas designated as “unclassifiable” for these regulated pollutants.  </w:t>
      </w:r>
    </w:p>
    <w:p w:rsidR="00467307" w:rsidRDefault="00467307" w:rsidP="00467307">
      <w:pPr>
        <w:widowControl w:val="0"/>
        <w:spacing w:after="120"/>
        <w:rPr>
          <w:rFonts w:eastAsia="Calibri"/>
          <w:sz w:val="22"/>
          <w:szCs w:val="22"/>
        </w:rPr>
      </w:pPr>
      <w:r>
        <w:rPr>
          <w:rFonts w:eastAsia="Calibri"/>
          <w:sz w:val="22"/>
          <w:szCs w:val="22"/>
        </w:rPr>
        <w:t xml:space="preserve">Commonly addressed </w:t>
      </w:r>
      <w:r w:rsidRPr="005C0768">
        <w:rPr>
          <w:rFonts w:eastAsia="Calibri"/>
          <w:sz w:val="22"/>
          <w:szCs w:val="22"/>
        </w:rPr>
        <w:t>PSD pollutants include: CO</w:t>
      </w:r>
      <w:r>
        <w:rPr>
          <w:rFonts w:eastAsia="Calibri"/>
          <w:sz w:val="22"/>
          <w:szCs w:val="22"/>
        </w:rPr>
        <w:t>,</w:t>
      </w:r>
      <w:r w:rsidRPr="005C0768">
        <w:rPr>
          <w:rFonts w:eastAsia="Calibri"/>
          <w:sz w:val="22"/>
          <w:szCs w:val="22"/>
        </w:rPr>
        <w:t xml:space="preserve"> NO</w:t>
      </w:r>
      <w:r w:rsidRPr="007B78BD">
        <w:rPr>
          <w:rFonts w:eastAsia="Calibri"/>
          <w:sz w:val="22"/>
          <w:szCs w:val="22"/>
          <w:vertAlign w:val="subscript"/>
        </w:rPr>
        <w:t>X</w:t>
      </w:r>
      <w:r>
        <w:rPr>
          <w:rFonts w:eastAsia="Calibri"/>
          <w:sz w:val="22"/>
          <w:szCs w:val="22"/>
        </w:rPr>
        <w:t>, PM,</w:t>
      </w:r>
      <w:r w:rsidRPr="005C0768">
        <w:rPr>
          <w:rFonts w:eastAsia="Calibri"/>
          <w:sz w:val="22"/>
          <w:szCs w:val="22"/>
        </w:rPr>
        <w:t xml:space="preserve"> </w:t>
      </w:r>
      <w:r>
        <w:rPr>
          <w:rFonts w:eastAsia="Calibri"/>
          <w:sz w:val="22"/>
          <w:szCs w:val="22"/>
        </w:rPr>
        <w:t>PM smaller than 10 micrometers (µm) (</w:t>
      </w:r>
      <w:r w:rsidRPr="005C0768">
        <w:rPr>
          <w:rFonts w:eastAsia="Calibri"/>
          <w:sz w:val="22"/>
          <w:szCs w:val="22"/>
        </w:rPr>
        <w:t>PM</w:t>
      </w:r>
      <w:r w:rsidRPr="00DB5285">
        <w:rPr>
          <w:rFonts w:eastAsia="Calibri"/>
          <w:sz w:val="22"/>
          <w:szCs w:val="22"/>
          <w:vertAlign w:val="subscript"/>
        </w:rPr>
        <w:t>10</w:t>
      </w:r>
      <w:r>
        <w:rPr>
          <w:rFonts w:eastAsia="Calibri"/>
          <w:sz w:val="22"/>
          <w:szCs w:val="22"/>
        </w:rPr>
        <w:t>),</w:t>
      </w:r>
      <w:r w:rsidRPr="005C0768">
        <w:rPr>
          <w:rFonts w:eastAsia="Calibri"/>
          <w:sz w:val="22"/>
          <w:szCs w:val="22"/>
        </w:rPr>
        <w:t xml:space="preserve"> </w:t>
      </w:r>
      <w:r>
        <w:rPr>
          <w:rFonts w:eastAsia="Calibri"/>
          <w:sz w:val="22"/>
          <w:szCs w:val="22"/>
        </w:rPr>
        <w:t>PM smaller than 2.5</w:t>
      </w:r>
      <w:r w:rsidRPr="00B81C9A">
        <w:rPr>
          <w:rFonts w:eastAsia="Calibri"/>
          <w:sz w:val="22"/>
          <w:szCs w:val="22"/>
        </w:rPr>
        <w:t xml:space="preserve"> </w:t>
      </w:r>
      <w:r>
        <w:rPr>
          <w:rFonts w:eastAsia="Calibri"/>
          <w:sz w:val="22"/>
          <w:szCs w:val="22"/>
        </w:rPr>
        <w:t>µm (PM</w:t>
      </w:r>
      <w:r w:rsidRPr="00B81C9A">
        <w:rPr>
          <w:rFonts w:eastAsia="Calibri"/>
          <w:sz w:val="22"/>
          <w:szCs w:val="22"/>
          <w:vertAlign w:val="subscript"/>
        </w:rPr>
        <w:t>2.5</w:t>
      </w:r>
      <w:r>
        <w:rPr>
          <w:rFonts w:eastAsia="Calibri"/>
          <w:sz w:val="22"/>
          <w:szCs w:val="22"/>
        </w:rPr>
        <w:t>), SO</w:t>
      </w:r>
      <w:r w:rsidRPr="00CC5837">
        <w:rPr>
          <w:rFonts w:eastAsia="Calibri"/>
          <w:sz w:val="22"/>
          <w:szCs w:val="22"/>
          <w:vertAlign w:val="subscript"/>
        </w:rPr>
        <w:t>2</w:t>
      </w:r>
      <w:r>
        <w:rPr>
          <w:rFonts w:eastAsia="Calibri"/>
          <w:sz w:val="22"/>
          <w:szCs w:val="22"/>
        </w:rPr>
        <w:t>, VOC, SAM, lead (Pb),</w:t>
      </w:r>
      <w:r w:rsidRPr="005C0768">
        <w:rPr>
          <w:rFonts w:eastAsia="Calibri"/>
          <w:sz w:val="22"/>
          <w:szCs w:val="22"/>
        </w:rPr>
        <w:t xml:space="preserve"> </w:t>
      </w:r>
      <w:r>
        <w:rPr>
          <w:rFonts w:eastAsia="Calibri"/>
          <w:sz w:val="22"/>
          <w:szCs w:val="22"/>
        </w:rPr>
        <w:t>f</w:t>
      </w:r>
      <w:r w:rsidRPr="005C0768">
        <w:rPr>
          <w:rFonts w:eastAsia="Calibri"/>
          <w:sz w:val="22"/>
          <w:szCs w:val="22"/>
        </w:rPr>
        <w:t>luorides</w:t>
      </w:r>
      <w:r>
        <w:rPr>
          <w:rFonts w:eastAsia="Calibri"/>
          <w:sz w:val="22"/>
          <w:szCs w:val="22"/>
        </w:rPr>
        <w:t xml:space="preserve"> (F),</w:t>
      </w:r>
      <w:r w:rsidRPr="005C0768">
        <w:rPr>
          <w:rFonts w:eastAsia="Calibri"/>
          <w:sz w:val="22"/>
          <w:szCs w:val="22"/>
        </w:rPr>
        <w:t xml:space="preserve"> </w:t>
      </w:r>
      <w:r>
        <w:rPr>
          <w:rFonts w:eastAsia="Calibri"/>
          <w:sz w:val="22"/>
          <w:szCs w:val="22"/>
        </w:rPr>
        <w:t xml:space="preserve">and mercury (Hg).  </w:t>
      </w:r>
    </w:p>
    <w:p w:rsidR="00467307" w:rsidRDefault="00467307" w:rsidP="00467307">
      <w:pPr>
        <w:widowControl w:val="0"/>
        <w:spacing w:after="120"/>
        <w:rPr>
          <w:rFonts w:eastAsia="Calibri"/>
          <w:sz w:val="22"/>
          <w:szCs w:val="22"/>
        </w:rPr>
      </w:pPr>
      <w:r>
        <w:rPr>
          <w:rFonts w:eastAsia="Calibri"/>
          <w:sz w:val="22"/>
          <w:szCs w:val="22"/>
        </w:rPr>
        <w:t>Additional PSD pollutants that are common to facilities with MWC include:</w:t>
      </w:r>
      <w:r w:rsidRPr="005C0768">
        <w:rPr>
          <w:rFonts w:eastAsia="Calibri"/>
          <w:sz w:val="22"/>
          <w:szCs w:val="22"/>
        </w:rPr>
        <w:t xml:space="preserve"> MWC</w:t>
      </w:r>
      <w:r>
        <w:rPr>
          <w:rFonts w:eastAsia="Calibri"/>
          <w:sz w:val="22"/>
          <w:szCs w:val="22"/>
        </w:rPr>
        <w:t xml:space="preserve"> </w:t>
      </w:r>
      <w:r w:rsidRPr="005C0768">
        <w:rPr>
          <w:rFonts w:eastAsia="Calibri"/>
          <w:sz w:val="22"/>
          <w:szCs w:val="22"/>
        </w:rPr>
        <w:t>organics measured as total tetra- through octa-chlorinated dibenzo-p-dioxins and dibenzofurans (</w:t>
      </w:r>
      <w:r>
        <w:rPr>
          <w:rFonts w:eastAsia="Calibri"/>
          <w:sz w:val="22"/>
          <w:szCs w:val="22"/>
        </w:rPr>
        <w:t xml:space="preserve">dioxin/furan), </w:t>
      </w:r>
      <w:r w:rsidRPr="005C0768">
        <w:rPr>
          <w:rFonts w:eastAsia="Calibri"/>
          <w:sz w:val="22"/>
          <w:szCs w:val="22"/>
        </w:rPr>
        <w:t>MWC metals measured as PM</w:t>
      </w:r>
      <w:r>
        <w:rPr>
          <w:rFonts w:eastAsia="Calibri"/>
          <w:sz w:val="22"/>
          <w:szCs w:val="22"/>
        </w:rPr>
        <w:t>,</w:t>
      </w:r>
      <w:r w:rsidRPr="005C0768">
        <w:rPr>
          <w:rFonts w:eastAsia="Calibri"/>
          <w:sz w:val="22"/>
          <w:szCs w:val="22"/>
        </w:rPr>
        <w:t xml:space="preserve"> </w:t>
      </w:r>
      <w:r>
        <w:rPr>
          <w:rFonts w:eastAsia="Calibri"/>
          <w:sz w:val="22"/>
          <w:szCs w:val="22"/>
        </w:rPr>
        <w:t xml:space="preserve">and </w:t>
      </w:r>
      <w:r w:rsidRPr="005C0768">
        <w:rPr>
          <w:rFonts w:eastAsia="Calibri"/>
          <w:sz w:val="22"/>
          <w:szCs w:val="22"/>
        </w:rPr>
        <w:t xml:space="preserve">MWC acid gases </w:t>
      </w:r>
      <w:r w:rsidRPr="004E4744">
        <w:rPr>
          <w:rFonts w:eastAsia="Calibri"/>
          <w:sz w:val="22"/>
          <w:szCs w:val="22"/>
        </w:rPr>
        <w:t>measured as SO</w:t>
      </w:r>
      <w:r w:rsidRPr="004E4744">
        <w:rPr>
          <w:rFonts w:eastAsia="Calibri"/>
          <w:sz w:val="22"/>
          <w:szCs w:val="22"/>
          <w:vertAlign w:val="subscript"/>
        </w:rPr>
        <w:t>2</w:t>
      </w:r>
      <w:r w:rsidRPr="004E4744">
        <w:rPr>
          <w:rFonts w:eastAsia="Calibri"/>
          <w:sz w:val="22"/>
          <w:szCs w:val="22"/>
        </w:rPr>
        <w:t xml:space="preserve"> and </w:t>
      </w:r>
      <w:r>
        <w:rPr>
          <w:rFonts w:eastAsia="Calibri"/>
          <w:sz w:val="22"/>
          <w:szCs w:val="22"/>
        </w:rPr>
        <w:t>hydrogen chloride (</w:t>
      </w:r>
      <w:r w:rsidRPr="004E4744">
        <w:rPr>
          <w:rFonts w:eastAsia="Calibri"/>
          <w:sz w:val="22"/>
          <w:szCs w:val="22"/>
        </w:rPr>
        <w:t>HCl</w:t>
      </w:r>
      <w:r>
        <w:rPr>
          <w:rFonts w:eastAsia="Calibri"/>
          <w:sz w:val="22"/>
          <w:szCs w:val="22"/>
        </w:rPr>
        <w:t xml:space="preserve">).  </w:t>
      </w:r>
    </w:p>
    <w:p w:rsidR="00467307" w:rsidRDefault="00467307" w:rsidP="00467307">
      <w:pPr>
        <w:widowControl w:val="0"/>
        <w:spacing w:after="120"/>
        <w:rPr>
          <w:rFonts w:eastAsia="Calibri"/>
          <w:sz w:val="22"/>
          <w:szCs w:val="22"/>
        </w:rPr>
      </w:pPr>
      <w:r>
        <w:rPr>
          <w:rFonts w:eastAsia="Calibri"/>
          <w:sz w:val="22"/>
          <w:szCs w:val="22"/>
        </w:rPr>
        <w:t>Other PSD pollutants are:  hydrogen sulfide (</w:t>
      </w:r>
      <w:r w:rsidRPr="005C0768">
        <w:rPr>
          <w:rFonts w:eastAsia="Calibri"/>
          <w:sz w:val="22"/>
          <w:szCs w:val="22"/>
        </w:rPr>
        <w:t>H</w:t>
      </w:r>
      <w:r w:rsidRPr="007B78BD">
        <w:rPr>
          <w:rFonts w:eastAsia="Calibri"/>
          <w:sz w:val="22"/>
          <w:szCs w:val="22"/>
          <w:vertAlign w:val="subscript"/>
        </w:rPr>
        <w:t>2</w:t>
      </w:r>
      <w:r w:rsidRPr="005C0768">
        <w:rPr>
          <w:rFonts w:eastAsia="Calibri"/>
          <w:sz w:val="22"/>
          <w:szCs w:val="22"/>
        </w:rPr>
        <w:t>S</w:t>
      </w:r>
      <w:r>
        <w:rPr>
          <w:rFonts w:eastAsia="Calibri"/>
          <w:sz w:val="22"/>
          <w:szCs w:val="22"/>
        </w:rPr>
        <w:t>), total reduced sulfide (</w:t>
      </w:r>
      <w:r w:rsidRPr="005C0768">
        <w:rPr>
          <w:rFonts w:eastAsia="Calibri"/>
          <w:sz w:val="22"/>
          <w:szCs w:val="22"/>
        </w:rPr>
        <w:t>TRS including H</w:t>
      </w:r>
      <w:r w:rsidRPr="007B78BD">
        <w:rPr>
          <w:rFonts w:eastAsia="Calibri"/>
          <w:sz w:val="22"/>
          <w:szCs w:val="22"/>
          <w:vertAlign w:val="subscript"/>
        </w:rPr>
        <w:t>2</w:t>
      </w:r>
      <w:r w:rsidRPr="005C0768">
        <w:rPr>
          <w:rFonts w:eastAsia="Calibri"/>
          <w:sz w:val="22"/>
          <w:szCs w:val="22"/>
        </w:rPr>
        <w:t>S</w:t>
      </w:r>
      <w:r>
        <w:rPr>
          <w:rFonts w:eastAsia="Calibri"/>
          <w:sz w:val="22"/>
          <w:szCs w:val="22"/>
        </w:rPr>
        <w:t>), reduced sulfur compounds (RSC including H</w:t>
      </w:r>
      <w:r w:rsidRPr="00F81267">
        <w:rPr>
          <w:rFonts w:eastAsia="Calibri"/>
          <w:sz w:val="22"/>
          <w:szCs w:val="22"/>
          <w:vertAlign w:val="subscript"/>
        </w:rPr>
        <w:t>2</w:t>
      </w:r>
      <w:r>
        <w:rPr>
          <w:rFonts w:eastAsia="Calibri"/>
          <w:sz w:val="22"/>
          <w:szCs w:val="22"/>
        </w:rPr>
        <w:t xml:space="preserve">S), and </w:t>
      </w:r>
      <w:r w:rsidRPr="004E4744">
        <w:rPr>
          <w:sz w:val="22"/>
          <w:szCs w:val="22"/>
        </w:rPr>
        <w:t>MSW landfill emissions as non-</w:t>
      </w:r>
      <w:r>
        <w:rPr>
          <w:sz w:val="22"/>
          <w:szCs w:val="22"/>
        </w:rPr>
        <w:t>methane organic compounds (NMOC)</w:t>
      </w:r>
      <w:r w:rsidRPr="004E4744">
        <w:rPr>
          <w:rFonts w:eastAsia="Calibri"/>
          <w:sz w:val="22"/>
          <w:szCs w:val="22"/>
        </w:rPr>
        <w:t xml:space="preserve">.  </w:t>
      </w:r>
    </w:p>
    <w:p w:rsidR="00467307" w:rsidRDefault="00467307" w:rsidP="00467307">
      <w:pPr>
        <w:pStyle w:val="Default"/>
        <w:spacing w:after="60"/>
        <w:rPr>
          <w:sz w:val="22"/>
          <w:szCs w:val="22"/>
        </w:rPr>
      </w:pPr>
      <w:r w:rsidRPr="005C0768">
        <w:rPr>
          <w:rFonts w:eastAsia="Calibri"/>
          <w:sz w:val="22"/>
          <w:szCs w:val="22"/>
        </w:rPr>
        <w:t>As defined in Rule 62-210.200(</w:t>
      </w:r>
      <w:r>
        <w:rPr>
          <w:rFonts w:eastAsia="Calibri"/>
          <w:sz w:val="22"/>
          <w:szCs w:val="22"/>
        </w:rPr>
        <w:t>Definitions)</w:t>
      </w:r>
      <w:r w:rsidRPr="005C0768">
        <w:rPr>
          <w:rFonts w:eastAsia="Calibri"/>
          <w:sz w:val="22"/>
          <w:szCs w:val="22"/>
        </w:rPr>
        <w:t xml:space="preserve">, F.A.C., </w:t>
      </w:r>
      <w:r>
        <w:rPr>
          <w:sz w:val="22"/>
          <w:szCs w:val="22"/>
        </w:rPr>
        <w:t>a stationary source is a “major stationary source” (major PSD source) if it emits or has the potential to emit (PTE):</w:t>
      </w:r>
    </w:p>
    <w:p w:rsidR="00467307" w:rsidRPr="00D94522" w:rsidRDefault="00467307" w:rsidP="00D623D7">
      <w:pPr>
        <w:pStyle w:val="Default"/>
        <w:numPr>
          <w:ilvl w:val="0"/>
          <w:numId w:val="6"/>
        </w:numPr>
        <w:spacing w:after="60"/>
        <w:ind w:left="360"/>
        <w:rPr>
          <w:rFonts w:eastAsia="Calibri"/>
          <w:sz w:val="22"/>
          <w:szCs w:val="22"/>
        </w:rPr>
      </w:pPr>
      <w:r>
        <w:rPr>
          <w:sz w:val="22"/>
          <w:szCs w:val="22"/>
        </w:rPr>
        <w:t xml:space="preserve">250 tons per year (tons/year) or more of any PSD pollutant; </w:t>
      </w:r>
      <w:r w:rsidRPr="00AF28AC">
        <w:rPr>
          <w:sz w:val="22"/>
          <w:szCs w:val="22"/>
          <w:u w:val="single"/>
        </w:rPr>
        <w:t>or</w:t>
      </w:r>
      <w:r>
        <w:rPr>
          <w:sz w:val="22"/>
          <w:szCs w:val="22"/>
        </w:rPr>
        <w:t xml:space="preserve"> </w:t>
      </w:r>
    </w:p>
    <w:p w:rsidR="00467307" w:rsidRDefault="00467307" w:rsidP="00D623D7">
      <w:pPr>
        <w:pStyle w:val="Default"/>
        <w:numPr>
          <w:ilvl w:val="0"/>
          <w:numId w:val="6"/>
        </w:numPr>
        <w:spacing w:after="120"/>
        <w:ind w:left="360"/>
        <w:rPr>
          <w:rFonts w:eastAsia="Calibri"/>
          <w:sz w:val="22"/>
          <w:szCs w:val="22"/>
        </w:rPr>
      </w:pPr>
      <w:r>
        <w:rPr>
          <w:sz w:val="22"/>
          <w:szCs w:val="22"/>
        </w:rPr>
        <w:t xml:space="preserve">100 tons/year or more of any PSD pollutant </w:t>
      </w:r>
      <w:r w:rsidRPr="00AF28AC">
        <w:rPr>
          <w:sz w:val="22"/>
          <w:szCs w:val="22"/>
          <w:u w:val="single"/>
        </w:rPr>
        <w:t>and</w:t>
      </w:r>
      <w:r>
        <w:rPr>
          <w:sz w:val="22"/>
          <w:szCs w:val="22"/>
        </w:rPr>
        <w:t xml:space="preserve"> the facility belongs to one of the 28 listed PSD major facility categories.  </w:t>
      </w:r>
    </w:p>
    <w:p w:rsidR="00467307" w:rsidRDefault="00467307" w:rsidP="00467307">
      <w:pPr>
        <w:widowControl w:val="0"/>
        <w:spacing w:after="120"/>
        <w:rPr>
          <w:rFonts w:eastAsia="Calibri"/>
          <w:sz w:val="22"/>
          <w:szCs w:val="22"/>
        </w:rPr>
      </w:pPr>
      <w:r w:rsidRPr="005C0768">
        <w:rPr>
          <w:rFonts w:eastAsia="Calibri"/>
          <w:sz w:val="22"/>
          <w:szCs w:val="22"/>
        </w:rPr>
        <w:t xml:space="preserve">The list given in the citation </w:t>
      </w:r>
      <w:r>
        <w:rPr>
          <w:rFonts w:eastAsia="Calibri"/>
          <w:sz w:val="22"/>
          <w:szCs w:val="22"/>
        </w:rPr>
        <w:t xml:space="preserve">includes the category of </w:t>
      </w:r>
      <w:r w:rsidRPr="00D2160F">
        <w:rPr>
          <w:rFonts w:eastAsia="Calibri"/>
          <w:sz w:val="22"/>
          <w:szCs w:val="22"/>
        </w:rPr>
        <w:t>“</w:t>
      </w:r>
      <w:r>
        <w:rPr>
          <w:rFonts w:eastAsia="Calibri"/>
          <w:sz w:val="22"/>
          <w:szCs w:val="22"/>
        </w:rPr>
        <w:t>m</w:t>
      </w:r>
      <w:r w:rsidRPr="002447EB">
        <w:rPr>
          <w:rFonts w:eastAsia="Calibri"/>
          <w:sz w:val="22"/>
          <w:szCs w:val="22"/>
        </w:rPr>
        <w:t>unicipal incinerators capable of charging more than 250 tons</w:t>
      </w:r>
      <w:r>
        <w:rPr>
          <w:rFonts w:eastAsia="Calibri"/>
          <w:sz w:val="22"/>
          <w:szCs w:val="22"/>
        </w:rPr>
        <w:t xml:space="preserve">/day </w:t>
      </w:r>
      <w:r w:rsidRPr="002447EB">
        <w:rPr>
          <w:rFonts w:eastAsia="Calibri"/>
          <w:sz w:val="22"/>
          <w:szCs w:val="22"/>
        </w:rPr>
        <w:t>of refuse</w:t>
      </w:r>
      <w:r>
        <w:rPr>
          <w:rFonts w:eastAsia="Calibri"/>
          <w:sz w:val="22"/>
          <w:szCs w:val="22"/>
        </w:rPr>
        <w:t xml:space="preserve">”.  </w:t>
      </w:r>
      <w:r w:rsidRPr="005C0768">
        <w:rPr>
          <w:rFonts w:eastAsia="Calibri"/>
          <w:sz w:val="22"/>
          <w:szCs w:val="22"/>
        </w:rPr>
        <w:t xml:space="preserve">The </w:t>
      </w:r>
      <w:r w:rsidR="00FA13D9">
        <w:rPr>
          <w:rFonts w:eastAsia="Calibri"/>
          <w:sz w:val="22"/>
          <w:szCs w:val="22"/>
        </w:rPr>
        <w:t>Hillsborough</w:t>
      </w:r>
      <w:r>
        <w:rPr>
          <w:rFonts w:eastAsia="Calibri"/>
          <w:sz w:val="22"/>
          <w:szCs w:val="22"/>
        </w:rPr>
        <w:t xml:space="preserve"> County Resource Recovery Facility </w:t>
      </w:r>
      <w:r w:rsidRPr="005C0768">
        <w:rPr>
          <w:rFonts w:eastAsia="Calibri"/>
          <w:sz w:val="22"/>
          <w:szCs w:val="22"/>
        </w:rPr>
        <w:t xml:space="preserve">is a major stationary source based on actual emissions </w:t>
      </w:r>
      <w:r>
        <w:rPr>
          <w:rFonts w:eastAsia="Calibri"/>
          <w:sz w:val="22"/>
          <w:szCs w:val="22"/>
        </w:rPr>
        <w:t xml:space="preserve">of </w:t>
      </w:r>
      <w:r w:rsidRPr="005C0768">
        <w:rPr>
          <w:rFonts w:eastAsia="Calibri"/>
          <w:sz w:val="22"/>
          <w:szCs w:val="22"/>
        </w:rPr>
        <w:t xml:space="preserve">and potential to emit </w:t>
      </w:r>
      <w:r>
        <w:rPr>
          <w:rFonts w:eastAsia="Calibri"/>
          <w:sz w:val="22"/>
          <w:szCs w:val="22"/>
        </w:rPr>
        <w:t xml:space="preserve">100 tons/year or more of several individual </w:t>
      </w:r>
      <w:r w:rsidRPr="005C0768">
        <w:rPr>
          <w:rFonts w:eastAsia="Calibri"/>
          <w:sz w:val="22"/>
          <w:szCs w:val="22"/>
        </w:rPr>
        <w:t xml:space="preserve">PSD pollutants.  </w:t>
      </w:r>
    </w:p>
    <w:p w:rsidR="00467307" w:rsidRPr="005C0768" w:rsidRDefault="00467307" w:rsidP="00467307">
      <w:pPr>
        <w:widowControl w:val="0"/>
        <w:spacing w:after="120"/>
        <w:rPr>
          <w:rFonts w:eastAsia="Calibri"/>
          <w:sz w:val="22"/>
          <w:szCs w:val="22"/>
        </w:rPr>
      </w:pPr>
      <w:r w:rsidRPr="005C0768">
        <w:rPr>
          <w:rFonts w:eastAsia="Calibri"/>
          <w:sz w:val="22"/>
          <w:szCs w:val="22"/>
        </w:rPr>
        <w:t>For major stationary sources</w:t>
      </w:r>
      <w:r>
        <w:rPr>
          <w:rFonts w:eastAsia="Calibri"/>
          <w:sz w:val="22"/>
          <w:szCs w:val="22"/>
        </w:rPr>
        <w:t xml:space="preserve"> such as the </w:t>
      </w:r>
      <w:r w:rsidR="008355D4">
        <w:rPr>
          <w:rFonts w:eastAsia="Calibri"/>
          <w:sz w:val="22"/>
          <w:szCs w:val="22"/>
        </w:rPr>
        <w:t xml:space="preserve">Hillsborough </w:t>
      </w:r>
      <w:r>
        <w:rPr>
          <w:rFonts w:eastAsia="Calibri"/>
          <w:sz w:val="22"/>
          <w:szCs w:val="22"/>
        </w:rPr>
        <w:t>County R</w:t>
      </w:r>
      <w:r w:rsidR="008355D4">
        <w:rPr>
          <w:rFonts w:eastAsia="Calibri"/>
          <w:sz w:val="22"/>
          <w:szCs w:val="22"/>
        </w:rPr>
        <w:t>RF</w:t>
      </w:r>
      <w:r w:rsidRPr="005C0768">
        <w:rPr>
          <w:rFonts w:eastAsia="Calibri"/>
          <w:sz w:val="22"/>
          <w:szCs w:val="22"/>
        </w:rPr>
        <w:t xml:space="preserve">, PSD applicability </w:t>
      </w:r>
      <w:r>
        <w:rPr>
          <w:rFonts w:eastAsia="Calibri"/>
          <w:sz w:val="22"/>
          <w:szCs w:val="22"/>
        </w:rPr>
        <w:t xml:space="preserve">for modification projects </w:t>
      </w:r>
      <w:r w:rsidRPr="005C0768">
        <w:rPr>
          <w:rFonts w:eastAsia="Calibri"/>
          <w:sz w:val="22"/>
          <w:szCs w:val="22"/>
        </w:rPr>
        <w:t>is based on thresholds known as the significant emission rates (SER</w:t>
      </w:r>
      <w:r>
        <w:rPr>
          <w:rFonts w:eastAsia="Calibri"/>
          <w:sz w:val="22"/>
          <w:szCs w:val="22"/>
        </w:rPr>
        <w:t xml:space="preserve">) as defined in Rule 62-210.200(Definitions), </w:t>
      </w:r>
      <w:r w:rsidRPr="005C0768">
        <w:rPr>
          <w:rFonts w:eastAsia="Calibri"/>
          <w:sz w:val="22"/>
          <w:szCs w:val="22"/>
        </w:rPr>
        <w:t xml:space="preserve">F.A.C.  </w:t>
      </w:r>
      <w:r>
        <w:rPr>
          <w:rFonts w:eastAsia="Calibri"/>
          <w:sz w:val="22"/>
          <w:szCs w:val="22"/>
        </w:rPr>
        <w:t>Any “net e</w:t>
      </w:r>
      <w:r w:rsidRPr="005C0768">
        <w:rPr>
          <w:rFonts w:eastAsia="Calibri"/>
          <w:sz w:val="22"/>
          <w:szCs w:val="22"/>
        </w:rPr>
        <w:t xml:space="preserve">missions </w:t>
      </w:r>
      <w:r>
        <w:rPr>
          <w:rFonts w:eastAsia="Calibri"/>
          <w:sz w:val="22"/>
          <w:szCs w:val="22"/>
        </w:rPr>
        <w:t xml:space="preserve">increase” as defined in Rule 62-210.200(Definitions), F.A.C. </w:t>
      </w:r>
      <w:r w:rsidRPr="005C0768">
        <w:rPr>
          <w:rFonts w:eastAsia="Calibri"/>
          <w:sz w:val="22"/>
          <w:szCs w:val="22"/>
        </w:rPr>
        <w:t xml:space="preserve">of </w:t>
      </w:r>
      <w:r>
        <w:rPr>
          <w:rFonts w:eastAsia="Calibri"/>
          <w:sz w:val="22"/>
          <w:szCs w:val="22"/>
        </w:rPr>
        <w:t xml:space="preserve">a </w:t>
      </w:r>
      <w:r w:rsidRPr="005C0768">
        <w:rPr>
          <w:rFonts w:eastAsia="Calibri"/>
          <w:sz w:val="22"/>
          <w:szCs w:val="22"/>
        </w:rPr>
        <w:t>PSD pollutant from the project that equal</w:t>
      </w:r>
      <w:r>
        <w:rPr>
          <w:rFonts w:eastAsia="Calibri"/>
          <w:sz w:val="22"/>
          <w:szCs w:val="22"/>
        </w:rPr>
        <w:t>s</w:t>
      </w:r>
      <w:r w:rsidRPr="005C0768">
        <w:rPr>
          <w:rFonts w:eastAsia="Calibri"/>
          <w:sz w:val="22"/>
          <w:szCs w:val="22"/>
        </w:rPr>
        <w:t xml:space="preserve"> or exceed</w:t>
      </w:r>
      <w:r>
        <w:rPr>
          <w:rFonts w:eastAsia="Calibri"/>
          <w:sz w:val="22"/>
          <w:szCs w:val="22"/>
        </w:rPr>
        <w:t>s</w:t>
      </w:r>
      <w:r w:rsidRPr="005C0768">
        <w:rPr>
          <w:rFonts w:eastAsia="Calibri"/>
          <w:sz w:val="22"/>
          <w:szCs w:val="22"/>
        </w:rPr>
        <w:t xml:space="preserve"> the</w:t>
      </w:r>
      <w:r>
        <w:rPr>
          <w:rFonts w:eastAsia="Calibri"/>
          <w:sz w:val="22"/>
          <w:szCs w:val="22"/>
        </w:rPr>
        <w:t xml:space="preserve"> respective </w:t>
      </w:r>
      <w:r w:rsidRPr="005C0768">
        <w:rPr>
          <w:rFonts w:eastAsia="Calibri"/>
          <w:sz w:val="22"/>
          <w:szCs w:val="22"/>
        </w:rPr>
        <w:t xml:space="preserve">SER </w:t>
      </w:r>
      <w:r>
        <w:rPr>
          <w:rFonts w:eastAsia="Calibri"/>
          <w:sz w:val="22"/>
          <w:szCs w:val="22"/>
        </w:rPr>
        <w:t xml:space="preserve">is </w:t>
      </w:r>
      <w:r w:rsidRPr="005C0768">
        <w:rPr>
          <w:rFonts w:eastAsia="Calibri"/>
          <w:sz w:val="22"/>
          <w:szCs w:val="22"/>
        </w:rPr>
        <w:t>considered “significant”.  SER also means any emissions rate or any net emissions increase of a PSD pollutant associated with a major stationary source or major modification which would construct within 10 k</w:t>
      </w:r>
      <w:r>
        <w:rPr>
          <w:rFonts w:eastAsia="Calibri"/>
          <w:sz w:val="22"/>
          <w:szCs w:val="22"/>
        </w:rPr>
        <w:t>m</w:t>
      </w:r>
      <w:r w:rsidRPr="005C0768">
        <w:rPr>
          <w:rFonts w:eastAsia="Calibri"/>
          <w:sz w:val="22"/>
          <w:szCs w:val="22"/>
        </w:rPr>
        <w:t xml:space="preserve"> of a Class I area and have an impact on such area equal to or greater than 1 gram per cubic meter, 24-hour average.  </w:t>
      </w:r>
    </w:p>
    <w:p w:rsidR="00467307" w:rsidRPr="005F3991" w:rsidRDefault="00467307" w:rsidP="00467307">
      <w:pPr>
        <w:widowControl w:val="0"/>
        <w:spacing w:after="120"/>
        <w:rPr>
          <w:rFonts w:eastAsia="Calibri"/>
          <w:sz w:val="22"/>
          <w:szCs w:val="22"/>
        </w:rPr>
      </w:pPr>
      <w:r w:rsidRPr="005F3991">
        <w:rPr>
          <w:rFonts w:eastAsia="Calibri"/>
          <w:sz w:val="22"/>
          <w:szCs w:val="22"/>
        </w:rPr>
        <w:t>Although a facility may be “major” (i.e. emits or has the potential to emit 100 or 250 TPY as applicable) for only one PSD pollutant, a project must include BACT controls for any PSD pollutant that exceeds the corresponding significant emission rates given in Table 4.</w:t>
      </w:r>
    </w:p>
    <w:p w:rsidR="00420601" w:rsidRPr="004E4744" w:rsidRDefault="00420601" w:rsidP="00420601">
      <w:pPr>
        <w:widowControl w:val="0"/>
        <w:spacing w:before="120" w:after="120"/>
        <w:rPr>
          <w:rFonts w:eastAsia="Calibri"/>
          <w:sz w:val="22"/>
          <w:szCs w:val="22"/>
        </w:rPr>
      </w:pPr>
      <w:r>
        <w:rPr>
          <w:rFonts w:eastAsia="Calibri"/>
          <w:sz w:val="22"/>
          <w:szCs w:val="22"/>
        </w:rPr>
        <w:t>According to 40 CFR 52.21, six greenhouse gases (</w:t>
      </w:r>
      <w:r w:rsidRPr="00ED735F">
        <w:rPr>
          <w:rFonts w:eastAsia="Calibri"/>
          <w:sz w:val="22"/>
          <w:szCs w:val="22"/>
        </w:rPr>
        <w:t>GHG</w:t>
      </w:r>
      <w:r>
        <w:rPr>
          <w:rFonts w:eastAsia="Calibri"/>
          <w:sz w:val="22"/>
          <w:szCs w:val="22"/>
        </w:rPr>
        <w:t>),</w:t>
      </w:r>
      <w:r w:rsidRPr="00ED735F">
        <w:rPr>
          <w:rFonts w:eastAsia="Calibri"/>
          <w:sz w:val="22"/>
          <w:szCs w:val="22"/>
        </w:rPr>
        <w:t xml:space="preserve"> </w:t>
      </w:r>
      <w:r>
        <w:rPr>
          <w:rFonts w:eastAsia="Calibri"/>
          <w:sz w:val="22"/>
          <w:szCs w:val="22"/>
        </w:rPr>
        <w:t xml:space="preserve">are </w:t>
      </w:r>
      <w:r w:rsidRPr="00ED735F">
        <w:rPr>
          <w:rFonts w:eastAsia="Calibri"/>
          <w:sz w:val="22"/>
          <w:szCs w:val="22"/>
        </w:rPr>
        <w:t>also be subject to regulation</w:t>
      </w:r>
      <w:r>
        <w:rPr>
          <w:rFonts w:eastAsia="Calibri"/>
          <w:sz w:val="22"/>
          <w:szCs w:val="22"/>
        </w:rPr>
        <w:t xml:space="preserve"> a</w:t>
      </w:r>
      <w:r w:rsidRPr="00ED735F">
        <w:rPr>
          <w:rFonts w:eastAsia="Calibri"/>
          <w:sz w:val="22"/>
          <w:szCs w:val="22"/>
        </w:rPr>
        <w:t>t new stationary source</w:t>
      </w:r>
      <w:r>
        <w:rPr>
          <w:rFonts w:eastAsia="Calibri"/>
          <w:sz w:val="22"/>
          <w:szCs w:val="22"/>
        </w:rPr>
        <w:t>s</w:t>
      </w:r>
      <w:r w:rsidRPr="00ED735F">
        <w:rPr>
          <w:rFonts w:eastAsia="Calibri"/>
          <w:sz w:val="22"/>
          <w:szCs w:val="22"/>
        </w:rPr>
        <w:t xml:space="preserve"> that will emit or have the potential to emit 100,000 t</w:t>
      </w:r>
      <w:r>
        <w:rPr>
          <w:rFonts w:eastAsia="Calibri"/>
          <w:sz w:val="22"/>
          <w:szCs w:val="22"/>
        </w:rPr>
        <w:t>ons/year (SER equal to 75,000 tons/year) expressed as the carbon dioxide equivalent emissions (</w:t>
      </w:r>
      <w:r w:rsidRPr="00ED735F">
        <w:rPr>
          <w:rFonts w:eastAsia="Calibri"/>
          <w:sz w:val="22"/>
          <w:szCs w:val="22"/>
        </w:rPr>
        <w:t>CO</w:t>
      </w:r>
      <w:r w:rsidRPr="00ED735F">
        <w:rPr>
          <w:rFonts w:eastAsia="Calibri"/>
          <w:sz w:val="22"/>
          <w:szCs w:val="22"/>
          <w:vertAlign w:val="subscript"/>
        </w:rPr>
        <w:t>2</w:t>
      </w:r>
      <w:r w:rsidRPr="00ED735F">
        <w:rPr>
          <w:rFonts w:eastAsia="Calibri"/>
          <w:sz w:val="22"/>
          <w:szCs w:val="22"/>
        </w:rPr>
        <w:t>e</w:t>
      </w:r>
      <w:r>
        <w:rPr>
          <w:rFonts w:eastAsia="Calibri"/>
          <w:sz w:val="22"/>
          <w:szCs w:val="22"/>
        </w:rPr>
        <w:t xml:space="preserve">).  This requirement </w:t>
      </w:r>
      <w:r w:rsidRPr="00ED735F">
        <w:rPr>
          <w:rFonts w:eastAsia="Calibri"/>
          <w:sz w:val="22"/>
          <w:szCs w:val="22"/>
        </w:rPr>
        <w:t>has not been incorporated into Department rules</w:t>
      </w:r>
      <w:r>
        <w:rPr>
          <w:rFonts w:eastAsia="Calibri"/>
          <w:sz w:val="22"/>
          <w:szCs w:val="22"/>
        </w:rPr>
        <w:t xml:space="preserve"> but is a separate requirement of the EPA.  Federal PSD </w:t>
      </w:r>
      <w:r w:rsidRPr="00945505">
        <w:rPr>
          <w:rFonts w:eastAsia="Calibri"/>
          <w:sz w:val="22"/>
          <w:szCs w:val="22"/>
        </w:rPr>
        <w:t>applicability to the CO</w:t>
      </w:r>
      <w:r w:rsidRPr="00945505">
        <w:rPr>
          <w:rFonts w:eastAsia="Calibri"/>
          <w:sz w:val="22"/>
          <w:szCs w:val="22"/>
          <w:vertAlign w:val="subscript"/>
        </w:rPr>
        <w:t>2</w:t>
      </w:r>
      <w:r w:rsidRPr="00945505">
        <w:rPr>
          <w:rFonts w:eastAsia="Calibri"/>
          <w:sz w:val="22"/>
          <w:szCs w:val="22"/>
        </w:rPr>
        <w:t xml:space="preserve"> co</w:t>
      </w:r>
      <w:r>
        <w:rPr>
          <w:rFonts w:eastAsia="Calibri"/>
          <w:sz w:val="22"/>
          <w:szCs w:val="22"/>
        </w:rPr>
        <w:t xml:space="preserve">ntribution to </w:t>
      </w:r>
      <w:r w:rsidRPr="00945505">
        <w:rPr>
          <w:rFonts w:eastAsia="Calibri"/>
          <w:sz w:val="22"/>
          <w:szCs w:val="22"/>
        </w:rPr>
        <w:t xml:space="preserve">GHG emissions from bioenergy and biogenic stationary sources was recently deferred by EPA until the second half of 2014.  Refer to:  </w:t>
      </w:r>
      <w:hyperlink r:id="rId32" w:history="1">
        <w:r w:rsidRPr="00945505">
          <w:rPr>
            <w:rStyle w:val="Hyperlink"/>
            <w:rFonts w:eastAsia="Calibri"/>
            <w:sz w:val="22"/>
            <w:szCs w:val="22"/>
          </w:rPr>
          <w:t>Link to Final CO2 PSD Deferral</w:t>
        </w:r>
      </w:hyperlink>
      <w:r w:rsidRPr="00945505">
        <w:rPr>
          <w:rFonts w:eastAsia="Calibri"/>
          <w:sz w:val="22"/>
          <w:szCs w:val="22"/>
        </w:rPr>
        <w:t xml:space="preserve"> </w:t>
      </w:r>
    </w:p>
    <w:p w:rsidR="00467307" w:rsidRPr="00272001" w:rsidRDefault="00467307" w:rsidP="00467307">
      <w:pPr>
        <w:autoSpaceDE w:val="0"/>
        <w:autoSpaceDN w:val="0"/>
        <w:adjustRightInd w:val="0"/>
        <w:spacing w:after="60"/>
        <w:rPr>
          <w:b/>
          <w:color w:val="000000"/>
          <w:sz w:val="22"/>
          <w:szCs w:val="22"/>
          <w:vertAlign w:val="superscript"/>
        </w:rPr>
      </w:pPr>
      <w:proofErr w:type="gramStart"/>
      <w:r w:rsidRPr="00831202">
        <w:rPr>
          <w:b/>
          <w:color w:val="000000"/>
          <w:sz w:val="22"/>
          <w:szCs w:val="22"/>
        </w:rPr>
        <w:lastRenderedPageBreak/>
        <w:t>Table 4.</w:t>
      </w:r>
      <w:proofErr w:type="gramEnd"/>
      <w:r w:rsidRPr="00831202">
        <w:rPr>
          <w:b/>
          <w:color w:val="000000"/>
          <w:sz w:val="22"/>
          <w:szCs w:val="22"/>
        </w:rPr>
        <w:t xml:space="preserve">  List of Significant Emission Rates by PSD-Pollutant Relevan</w:t>
      </w:r>
      <w:r>
        <w:rPr>
          <w:b/>
          <w:color w:val="000000"/>
          <w:sz w:val="22"/>
          <w:szCs w:val="22"/>
        </w:rPr>
        <w:t xml:space="preserve">t to the Facility </w:t>
      </w:r>
      <w:r>
        <w:rPr>
          <w:b/>
          <w:color w:val="000000"/>
          <w:sz w:val="22"/>
          <w:szCs w:val="22"/>
          <w:vertAlign w:val="superscript"/>
        </w:rPr>
        <w:t>2</w:t>
      </w:r>
    </w:p>
    <w:tbl>
      <w:tblPr>
        <w:tblW w:w="972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2880"/>
        <w:gridCol w:w="1800"/>
        <w:gridCol w:w="3240"/>
        <w:gridCol w:w="1800"/>
      </w:tblGrid>
      <w:tr w:rsidR="00467307" w:rsidRPr="005C0768" w:rsidTr="00467307">
        <w:trPr>
          <w:trHeight w:val="290"/>
        </w:trPr>
        <w:tc>
          <w:tcPr>
            <w:tcW w:w="2880" w:type="dxa"/>
            <w:hideMark/>
          </w:tcPr>
          <w:p w:rsidR="00467307" w:rsidRPr="005339C3" w:rsidRDefault="00467307" w:rsidP="00467307">
            <w:pPr>
              <w:autoSpaceDE w:val="0"/>
              <w:autoSpaceDN w:val="0"/>
              <w:adjustRightInd w:val="0"/>
              <w:spacing w:before="20" w:after="20"/>
              <w:rPr>
                <w:b/>
                <w:color w:val="000000"/>
              </w:rPr>
            </w:pPr>
            <w:r w:rsidRPr="005339C3">
              <w:rPr>
                <w:b/>
                <w:color w:val="000000"/>
              </w:rPr>
              <w:t xml:space="preserve">Pollutant </w:t>
            </w:r>
          </w:p>
        </w:tc>
        <w:tc>
          <w:tcPr>
            <w:tcW w:w="1800" w:type="dxa"/>
            <w:hideMark/>
          </w:tcPr>
          <w:p w:rsidR="00467307" w:rsidRPr="005339C3" w:rsidRDefault="00467307" w:rsidP="00467307">
            <w:pPr>
              <w:autoSpaceDE w:val="0"/>
              <w:autoSpaceDN w:val="0"/>
              <w:adjustRightInd w:val="0"/>
              <w:spacing w:before="20" w:after="20"/>
              <w:jc w:val="center"/>
              <w:rPr>
                <w:b/>
                <w:color w:val="000000"/>
              </w:rPr>
            </w:pPr>
            <w:r w:rsidRPr="005339C3">
              <w:rPr>
                <w:b/>
                <w:color w:val="000000"/>
              </w:rPr>
              <w:t>SER (</w:t>
            </w:r>
            <w:r>
              <w:rPr>
                <w:rFonts w:eastAsia="Calibri"/>
                <w:b/>
              </w:rPr>
              <w:t>tons/year)</w:t>
            </w:r>
          </w:p>
        </w:tc>
        <w:tc>
          <w:tcPr>
            <w:tcW w:w="3240" w:type="dxa"/>
            <w:hideMark/>
          </w:tcPr>
          <w:p w:rsidR="00467307" w:rsidRPr="005339C3" w:rsidRDefault="00467307" w:rsidP="00467307">
            <w:pPr>
              <w:autoSpaceDE w:val="0"/>
              <w:autoSpaceDN w:val="0"/>
              <w:adjustRightInd w:val="0"/>
              <w:spacing w:before="20" w:after="20"/>
              <w:rPr>
                <w:b/>
                <w:color w:val="000000"/>
              </w:rPr>
            </w:pPr>
            <w:r w:rsidRPr="005339C3">
              <w:rPr>
                <w:b/>
                <w:color w:val="000000"/>
              </w:rPr>
              <w:t xml:space="preserve">Pollutant </w:t>
            </w:r>
          </w:p>
        </w:tc>
        <w:tc>
          <w:tcPr>
            <w:tcW w:w="1800" w:type="dxa"/>
            <w:hideMark/>
          </w:tcPr>
          <w:p w:rsidR="00467307" w:rsidRPr="005339C3" w:rsidRDefault="00467307" w:rsidP="00467307">
            <w:pPr>
              <w:autoSpaceDE w:val="0"/>
              <w:autoSpaceDN w:val="0"/>
              <w:adjustRightInd w:val="0"/>
              <w:spacing w:before="20" w:after="20"/>
              <w:jc w:val="center"/>
              <w:rPr>
                <w:b/>
                <w:color w:val="000000"/>
              </w:rPr>
            </w:pPr>
            <w:r w:rsidRPr="005339C3">
              <w:rPr>
                <w:b/>
                <w:color w:val="000000"/>
              </w:rPr>
              <w:t>SER (</w:t>
            </w:r>
            <w:r>
              <w:rPr>
                <w:b/>
                <w:color w:val="000000"/>
              </w:rPr>
              <w:t>tons/year)</w:t>
            </w:r>
          </w:p>
        </w:tc>
      </w:tr>
      <w:tr w:rsidR="00467307" w:rsidRPr="005C0768" w:rsidTr="00467307">
        <w:trPr>
          <w:trHeight w:val="264"/>
        </w:trPr>
        <w:tc>
          <w:tcPr>
            <w:tcW w:w="2880" w:type="dxa"/>
            <w:hideMark/>
          </w:tcPr>
          <w:p w:rsidR="00467307" w:rsidRPr="005339C3" w:rsidRDefault="00467307" w:rsidP="00467307">
            <w:pPr>
              <w:autoSpaceDE w:val="0"/>
              <w:autoSpaceDN w:val="0"/>
              <w:adjustRightInd w:val="0"/>
              <w:spacing w:before="20" w:after="20"/>
              <w:rPr>
                <w:color w:val="000000"/>
              </w:rPr>
            </w:pPr>
            <w:r w:rsidRPr="005339C3">
              <w:rPr>
                <w:color w:val="000000"/>
              </w:rPr>
              <w:t>PM</w:t>
            </w:r>
          </w:p>
        </w:tc>
        <w:tc>
          <w:tcPr>
            <w:tcW w:w="1800" w:type="dxa"/>
            <w:hideMark/>
          </w:tcPr>
          <w:p w:rsidR="00467307" w:rsidRPr="005339C3" w:rsidRDefault="00467307" w:rsidP="00467307">
            <w:pPr>
              <w:autoSpaceDE w:val="0"/>
              <w:autoSpaceDN w:val="0"/>
              <w:adjustRightInd w:val="0"/>
              <w:spacing w:before="20" w:after="20"/>
              <w:jc w:val="center"/>
              <w:rPr>
                <w:color w:val="000000"/>
              </w:rPr>
            </w:pPr>
            <w:r w:rsidRPr="005339C3">
              <w:rPr>
                <w:color w:val="000000"/>
              </w:rPr>
              <w:t>25</w:t>
            </w:r>
          </w:p>
        </w:tc>
        <w:tc>
          <w:tcPr>
            <w:tcW w:w="3240" w:type="dxa"/>
            <w:hideMark/>
          </w:tcPr>
          <w:p w:rsidR="00467307" w:rsidRPr="00BA3C8A" w:rsidRDefault="00467307" w:rsidP="00467307">
            <w:pPr>
              <w:autoSpaceDE w:val="0"/>
              <w:autoSpaceDN w:val="0"/>
              <w:adjustRightInd w:val="0"/>
              <w:spacing w:before="20" w:after="20"/>
              <w:rPr>
                <w:color w:val="000000"/>
              </w:rPr>
            </w:pPr>
            <w:r w:rsidRPr="005339C3">
              <w:rPr>
                <w:color w:val="000000"/>
              </w:rPr>
              <w:t>PM</w:t>
            </w:r>
            <w:r w:rsidRPr="00BA3C8A">
              <w:rPr>
                <w:color w:val="000000"/>
                <w:vertAlign w:val="subscript"/>
              </w:rPr>
              <w:t>10</w:t>
            </w:r>
          </w:p>
        </w:tc>
        <w:tc>
          <w:tcPr>
            <w:tcW w:w="1800" w:type="dxa"/>
            <w:hideMark/>
          </w:tcPr>
          <w:p w:rsidR="00467307" w:rsidRPr="005339C3" w:rsidRDefault="00467307" w:rsidP="00467307">
            <w:pPr>
              <w:autoSpaceDE w:val="0"/>
              <w:autoSpaceDN w:val="0"/>
              <w:adjustRightInd w:val="0"/>
              <w:spacing w:before="20" w:after="20"/>
              <w:jc w:val="center"/>
              <w:rPr>
                <w:color w:val="000000"/>
              </w:rPr>
            </w:pPr>
            <w:r w:rsidRPr="005339C3">
              <w:rPr>
                <w:color w:val="000000"/>
              </w:rPr>
              <w:t>15</w:t>
            </w:r>
          </w:p>
        </w:tc>
      </w:tr>
      <w:tr w:rsidR="00467307" w:rsidRPr="00CD3805" w:rsidTr="00467307">
        <w:trPr>
          <w:trHeight w:val="264"/>
        </w:trPr>
        <w:tc>
          <w:tcPr>
            <w:tcW w:w="2880" w:type="dxa"/>
            <w:hideMark/>
          </w:tcPr>
          <w:p w:rsidR="00467307" w:rsidRPr="00CD3805" w:rsidRDefault="00467307" w:rsidP="00467307">
            <w:pPr>
              <w:autoSpaceDE w:val="0"/>
              <w:autoSpaceDN w:val="0"/>
              <w:adjustRightInd w:val="0"/>
              <w:spacing w:before="20" w:after="20"/>
              <w:rPr>
                <w:color w:val="000000"/>
              </w:rPr>
            </w:pPr>
            <w:r w:rsidRPr="00CD3805">
              <w:rPr>
                <w:color w:val="000000"/>
              </w:rPr>
              <w:t>PM</w:t>
            </w:r>
            <w:r w:rsidRPr="00CD3805">
              <w:rPr>
                <w:color w:val="000000"/>
                <w:vertAlign w:val="subscript"/>
              </w:rPr>
              <w:t>2.5</w:t>
            </w:r>
          </w:p>
        </w:tc>
        <w:tc>
          <w:tcPr>
            <w:tcW w:w="1800" w:type="dxa"/>
            <w:hideMark/>
          </w:tcPr>
          <w:p w:rsidR="00467307" w:rsidRPr="00CD3805" w:rsidRDefault="00467307" w:rsidP="00467307">
            <w:pPr>
              <w:autoSpaceDE w:val="0"/>
              <w:autoSpaceDN w:val="0"/>
              <w:adjustRightInd w:val="0"/>
              <w:spacing w:before="20" w:after="20"/>
              <w:jc w:val="center"/>
              <w:rPr>
                <w:color w:val="000000"/>
              </w:rPr>
            </w:pPr>
            <w:r w:rsidRPr="00CD3805">
              <w:rPr>
                <w:color w:val="000000"/>
              </w:rPr>
              <w:t>10</w:t>
            </w:r>
          </w:p>
        </w:tc>
        <w:tc>
          <w:tcPr>
            <w:tcW w:w="3240" w:type="dxa"/>
            <w:hideMark/>
          </w:tcPr>
          <w:p w:rsidR="00467307" w:rsidRPr="00CD3805" w:rsidRDefault="00467307" w:rsidP="00467307">
            <w:pPr>
              <w:pStyle w:val="Default"/>
              <w:spacing w:before="20" w:after="20"/>
              <w:rPr>
                <w:sz w:val="20"/>
                <w:szCs w:val="20"/>
              </w:rPr>
            </w:pPr>
            <w:r w:rsidRPr="00CD3805">
              <w:rPr>
                <w:sz w:val="20"/>
                <w:szCs w:val="20"/>
              </w:rPr>
              <w:t>MWC metals as PM</w:t>
            </w:r>
          </w:p>
        </w:tc>
        <w:tc>
          <w:tcPr>
            <w:tcW w:w="1800" w:type="dxa"/>
            <w:hideMark/>
          </w:tcPr>
          <w:p w:rsidR="00467307" w:rsidRPr="00CD3805" w:rsidRDefault="00467307" w:rsidP="00467307">
            <w:pPr>
              <w:pStyle w:val="Default"/>
              <w:spacing w:before="20" w:after="20"/>
              <w:jc w:val="center"/>
              <w:rPr>
                <w:sz w:val="20"/>
                <w:szCs w:val="20"/>
              </w:rPr>
            </w:pPr>
            <w:r w:rsidRPr="00CD3805">
              <w:rPr>
                <w:sz w:val="20"/>
                <w:szCs w:val="20"/>
              </w:rPr>
              <w:t>15</w:t>
            </w:r>
          </w:p>
        </w:tc>
      </w:tr>
      <w:tr w:rsidR="00467307" w:rsidRPr="005C0768" w:rsidTr="00467307">
        <w:trPr>
          <w:trHeight w:val="264"/>
        </w:trPr>
        <w:tc>
          <w:tcPr>
            <w:tcW w:w="2880" w:type="dxa"/>
            <w:hideMark/>
          </w:tcPr>
          <w:p w:rsidR="00467307" w:rsidRPr="00CD3805" w:rsidRDefault="00467307" w:rsidP="00467307">
            <w:pPr>
              <w:autoSpaceDE w:val="0"/>
              <w:autoSpaceDN w:val="0"/>
              <w:adjustRightInd w:val="0"/>
              <w:spacing w:before="20" w:after="20"/>
              <w:rPr>
                <w:color w:val="000000"/>
              </w:rPr>
            </w:pPr>
            <w:r w:rsidRPr="00CD3805">
              <w:rPr>
                <w:color w:val="000000"/>
              </w:rPr>
              <w:t>PM</w:t>
            </w:r>
            <w:r w:rsidRPr="00CD3805">
              <w:rPr>
                <w:color w:val="000000"/>
                <w:vertAlign w:val="subscript"/>
              </w:rPr>
              <w:t xml:space="preserve">2.5 </w:t>
            </w:r>
            <w:r w:rsidRPr="00CD3805">
              <w:rPr>
                <w:color w:val="000000"/>
              </w:rPr>
              <w:t>(NO</w:t>
            </w:r>
            <w:r w:rsidRPr="00CD3805">
              <w:rPr>
                <w:color w:val="000000"/>
                <w:vertAlign w:val="subscript"/>
              </w:rPr>
              <w:t>X</w:t>
            </w:r>
            <w:r w:rsidRPr="00CD3805">
              <w:rPr>
                <w:color w:val="000000"/>
              </w:rPr>
              <w:t>)</w:t>
            </w:r>
          </w:p>
        </w:tc>
        <w:tc>
          <w:tcPr>
            <w:tcW w:w="1800" w:type="dxa"/>
            <w:hideMark/>
          </w:tcPr>
          <w:p w:rsidR="00467307" w:rsidRPr="00CD3805" w:rsidRDefault="00467307" w:rsidP="00467307">
            <w:pPr>
              <w:autoSpaceDE w:val="0"/>
              <w:autoSpaceDN w:val="0"/>
              <w:adjustRightInd w:val="0"/>
              <w:spacing w:before="20" w:after="20"/>
              <w:jc w:val="center"/>
              <w:rPr>
                <w:color w:val="000000"/>
              </w:rPr>
            </w:pPr>
            <w:r w:rsidRPr="00CD3805">
              <w:rPr>
                <w:color w:val="000000"/>
              </w:rPr>
              <w:t>40</w:t>
            </w:r>
          </w:p>
        </w:tc>
        <w:tc>
          <w:tcPr>
            <w:tcW w:w="3240" w:type="dxa"/>
            <w:hideMark/>
          </w:tcPr>
          <w:p w:rsidR="00467307" w:rsidRPr="00CD3805" w:rsidRDefault="00467307" w:rsidP="00467307">
            <w:pPr>
              <w:pStyle w:val="Default"/>
              <w:spacing w:before="20" w:after="20"/>
              <w:rPr>
                <w:sz w:val="20"/>
                <w:szCs w:val="20"/>
              </w:rPr>
            </w:pPr>
            <w:r w:rsidRPr="00CD3805">
              <w:rPr>
                <w:sz w:val="20"/>
                <w:szCs w:val="20"/>
              </w:rPr>
              <w:t>PM</w:t>
            </w:r>
            <w:r w:rsidRPr="00CD3805">
              <w:rPr>
                <w:sz w:val="20"/>
                <w:szCs w:val="20"/>
                <w:vertAlign w:val="subscript"/>
              </w:rPr>
              <w:t>2.5</w:t>
            </w:r>
            <w:r w:rsidRPr="00CD3805">
              <w:rPr>
                <w:sz w:val="20"/>
                <w:szCs w:val="20"/>
              </w:rPr>
              <w:t xml:space="preserve"> (SO</w:t>
            </w:r>
            <w:r w:rsidRPr="00CD3805">
              <w:rPr>
                <w:sz w:val="20"/>
                <w:szCs w:val="20"/>
                <w:vertAlign w:val="subscript"/>
              </w:rPr>
              <w:t>2</w:t>
            </w:r>
            <w:r w:rsidRPr="00CD3805">
              <w:rPr>
                <w:sz w:val="20"/>
                <w:szCs w:val="20"/>
              </w:rPr>
              <w:t>)</w:t>
            </w:r>
          </w:p>
        </w:tc>
        <w:tc>
          <w:tcPr>
            <w:tcW w:w="1800" w:type="dxa"/>
            <w:hideMark/>
          </w:tcPr>
          <w:p w:rsidR="00467307" w:rsidRPr="00CD3805" w:rsidRDefault="00467307" w:rsidP="00467307">
            <w:pPr>
              <w:pStyle w:val="Default"/>
              <w:spacing w:before="20" w:after="20"/>
              <w:jc w:val="center"/>
              <w:rPr>
                <w:sz w:val="20"/>
                <w:szCs w:val="20"/>
              </w:rPr>
            </w:pPr>
            <w:r w:rsidRPr="00CD3805">
              <w:rPr>
                <w:sz w:val="20"/>
                <w:szCs w:val="20"/>
              </w:rPr>
              <w:t>40</w:t>
            </w:r>
          </w:p>
        </w:tc>
      </w:tr>
      <w:tr w:rsidR="00467307" w:rsidRPr="005C0768" w:rsidTr="00467307">
        <w:trPr>
          <w:trHeight w:val="264"/>
        </w:trPr>
        <w:tc>
          <w:tcPr>
            <w:tcW w:w="2880" w:type="dxa"/>
            <w:hideMark/>
          </w:tcPr>
          <w:p w:rsidR="00467307" w:rsidRPr="005339C3" w:rsidRDefault="00467307" w:rsidP="00467307">
            <w:pPr>
              <w:autoSpaceDE w:val="0"/>
              <w:autoSpaceDN w:val="0"/>
              <w:adjustRightInd w:val="0"/>
              <w:spacing w:before="20" w:after="20"/>
              <w:rPr>
                <w:color w:val="000000"/>
              </w:rPr>
            </w:pPr>
            <w:r w:rsidRPr="005339C3">
              <w:rPr>
                <w:color w:val="000000"/>
              </w:rPr>
              <w:t xml:space="preserve">CO </w:t>
            </w:r>
          </w:p>
        </w:tc>
        <w:tc>
          <w:tcPr>
            <w:tcW w:w="1800" w:type="dxa"/>
            <w:hideMark/>
          </w:tcPr>
          <w:p w:rsidR="00467307" w:rsidRPr="005339C3" w:rsidRDefault="00467307" w:rsidP="00467307">
            <w:pPr>
              <w:autoSpaceDE w:val="0"/>
              <w:autoSpaceDN w:val="0"/>
              <w:adjustRightInd w:val="0"/>
              <w:spacing w:before="20" w:after="20"/>
              <w:jc w:val="center"/>
              <w:rPr>
                <w:color w:val="000000"/>
              </w:rPr>
            </w:pPr>
            <w:r w:rsidRPr="005339C3">
              <w:rPr>
                <w:color w:val="000000"/>
              </w:rPr>
              <w:t>100</w:t>
            </w:r>
          </w:p>
        </w:tc>
        <w:tc>
          <w:tcPr>
            <w:tcW w:w="3240" w:type="dxa"/>
            <w:hideMark/>
          </w:tcPr>
          <w:p w:rsidR="00467307" w:rsidRPr="005339C3" w:rsidRDefault="00467307" w:rsidP="00467307">
            <w:pPr>
              <w:autoSpaceDE w:val="0"/>
              <w:autoSpaceDN w:val="0"/>
              <w:adjustRightInd w:val="0"/>
              <w:spacing w:before="20" w:after="20"/>
              <w:rPr>
                <w:color w:val="000000"/>
              </w:rPr>
            </w:pPr>
            <w:r w:rsidRPr="005339C3">
              <w:rPr>
                <w:color w:val="000000"/>
              </w:rPr>
              <w:t>NO</w:t>
            </w:r>
            <w:r w:rsidRPr="005339C3">
              <w:rPr>
                <w:color w:val="000000"/>
                <w:vertAlign w:val="subscript"/>
              </w:rPr>
              <w:t>X</w:t>
            </w:r>
          </w:p>
        </w:tc>
        <w:tc>
          <w:tcPr>
            <w:tcW w:w="1800" w:type="dxa"/>
            <w:hideMark/>
          </w:tcPr>
          <w:p w:rsidR="00467307" w:rsidRDefault="00467307" w:rsidP="00467307">
            <w:pPr>
              <w:autoSpaceDE w:val="0"/>
              <w:autoSpaceDN w:val="0"/>
              <w:adjustRightInd w:val="0"/>
              <w:spacing w:before="20" w:after="20"/>
              <w:jc w:val="center"/>
              <w:rPr>
                <w:color w:val="000000"/>
              </w:rPr>
            </w:pPr>
            <w:r>
              <w:rPr>
                <w:color w:val="000000"/>
              </w:rPr>
              <w:t>40</w:t>
            </w:r>
          </w:p>
        </w:tc>
      </w:tr>
      <w:tr w:rsidR="00467307" w:rsidRPr="005C0768" w:rsidTr="00467307">
        <w:trPr>
          <w:trHeight w:val="264"/>
        </w:trPr>
        <w:tc>
          <w:tcPr>
            <w:tcW w:w="2880" w:type="dxa"/>
            <w:hideMark/>
          </w:tcPr>
          <w:p w:rsidR="00467307" w:rsidRPr="005339C3" w:rsidRDefault="00467307" w:rsidP="00467307">
            <w:pPr>
              <w:autoSpaceDE w:val="0"/>
              <w:autoSpaceDN w:val="0"/>
              <w:adjustRightInd w:val="0"/>
              <w:spacing w:before="20" w:after="20"/>
              <w:rPr>
                <w:color w:val="000000"/>
              </w:rPr>
            </w:pPr>
            <w:r w:rsidRPr="005339C3">
              <w:rPr>
                <w:color w:val="000000"/>
              </w:rPr>
              <w:t>Ozone (NO</w:t>
            </w:r>
            <w:r w:rsidRPr="005339C3">
              <w:rPr>
                <w:color w:val="000000"/>
                <w:vertAlign w:val="subscript"/>
              </w:rPr>
              <w:t>X</w:t>
            </w:r>
            <w:r w:rsidRPr="005339C3">
              <w:rPr>
                <w:color w:val="000000"/>
              </w:rPr>
              <w:t xml:space="preserve">) </w:t>
            </w:r>
            <w:r>
              <w:rPr>
                <w:b/>
                <w:color w:val="000000"/>
                <w:vertAlign w:val="superscript"/>
              </w:rPr>
              <w:t>1</w:t>
            </w:r>
          </w:p>
        </w:tc>
        <w:tc>
          <w:tcPr>
            <w:tcW w:w="1800" w:type="dxa"/>
            <w:hideMark/>
          </w:tcPr>
          <w:p w:rsidR="00467307" w:rsidRPr="005339C3" w:rsidRDefault="00467307" w:rsidP="00467307">
            <w:pPr>
              <w:autoSpaceDE w:val="0"/>
              <w:autoSpaceDN w:val="0"/>
              <w:adjustRightInd w:val="0"/>
              <w:spacing w:before="20" w:after="20"/>
              <w:jc w:val="center"/>
              <w:rPr>
                <w:color w:val="000000"/>
              </w:rPr>
            </w:pPr>
            <w:r w:rsidRPr="005339C3">
              <w:rPr>
                <w:color w:val="000000"/>
              </w:rPr>
              <w:t>40</w:t>
            </w:r>
          </w:p>
        </w:tc>
        <w:tc>
          <w:tcPr>
            <w:tcW w:w="3240" w:type="dxa"/>
            <w:hideMark/>
          </w:tcPr>
          <w:p w:rsidR="00467307" w:rsidRPr="005339C3" w:rsidRDefault="00467307" w:rsidP="00467307">
            <w:pPr>
              <w:autoSpaceDE w:val="0"/>
              <w:autoSpaceDN w:val="0"/>
              <w:adjustRightInd w:val="0"/>
              <w:spacing w:before="20" w:after="20"/>
              <w:rPr>
                <w:color w:val="000000"/>
              </w:rPr>
            </w:pPr>
            <w:r w:rsidRPr="005339C3">
              <w:rPr>
                <w:color w:val="000000"/>
              </w:rPr>
              <w:t xml:space="preserve">Ozone (VOC) </w:t>
            </w:r>
            <w:r>
              <w:rPr>
                <w:b/>
                <w:color w:val="000000"/>
                <w:vertAlign w:val="superscript"/>
              </w:rPr>
              <w:t>1</w:t>
            </w:r>
          </w:p>
        </w:tc>
        <w:tc>
          <w:tcPr>
            <w:tcW w:w="1800" w:type="dxa"/>
            <w:hideMark/>
          </w:tcPr>
          <w:p w:rsidR="00467307" w:rsidRPr="005339C3" w:rsidRDefault="00467307" w:rsidP="00467307">
            <w:pPr>
              <w:autoSpaceDE w:val="0"/>
              <w:autoSpaceDN w:val="0"/>
              <w:adjustRightInd w:val="0"/>
              <w:spacing w:before="20" w:after="20"/>
              <w:jc w:val="center"/>
              <w:rPr>
                <w:color w:val="000000"/>
              </w:rPr>
            </w:pPr>
            <w:r>
              <w:rPr>
                <w:color w:val="000000"/>
              </w:rPr>
              <w:t>40</w:t>
            </w:r>
          </w:p>
        </w:tc>
      </w:tr>
      <w:tr w:rsidR="00467307" w:rsidRPr="005C0768" w:rsidTr="00467307">
        <w:trPr>
          <w:trHeight w:val="264"/>
        </w:trPr>
        <w:tc>
          <w:tcPr>
            <w:tcW w:w="2880" w:type="dxa"/>
            <w:hideMark/>
          </w:tcPr>
          <w:p w:rsidR="00467307" w:rsidRPr="005339C3" w:rsidRDefault="00467307" w:rsidP="00467307">
            <w:pPr>
              <w:autoSpaceDE w:val="0"/>
              <w:autoSpaceDN w:val="0"/>
              <w:adjustRightInd w:val="0"/>
              <w:spacing w:before="20" w:after="20"/>
              <w:rPr>
                <w:color w:val="000000"/>
              </w:rPr>
            </w:pPr>
            <w:r w:rsidRPr="005339C3">
              <w:rPr>
                <w:color w:val="000000"/>
              </w:rPr>
              <w:t>SO</w:t>
            </w:r>
            <w:r w:rsidRPr="005339C3">
              <w:rPr>
                <w:color w:val="000000"/>
                <w:vertAlign w:val="subscript"/>
              </w:rPr>
              <w:t>2</w:t>
            </w:r>
          </w:p>
        </w:tc>
        <w:tc>
          <w:tcPr>
            <w:tcW w:w="1800" w:type="dxa"/>
            <w:hideMark/>
          </w:tcPr>
          <w:p w:rsidR="00467307" w:rsidRPr="005339C3" w:rsidRDefault="00467307" w:rsidP="00467307">
            <w:pPr>
              <w:autoSpaceDE w:val="0"/>
              <w:autoSpaceDN w:val="0"/>
              <w:adjustRightInd w:val="0"/>
              <w:spacing w:before="20" w:after="20"/>
              <w:jc w:val="center"/>
              <w:rPr>
                <w:color w:val="000000"/>
              </w:rPr>
            </w:pPr>
            <w:r w:rsidRPr="005339C3">
              <w:rPr>
                <w:color w:val="000000"/>
              </w:rPr>
              <w:t>40</w:t>
            </w:r>
          </w:p>
        </w:tc>
        <w:tc>
          <w:tcPr>
            <w:tcW w:w="3240" w:type="dxa"/>
            <w:hideMark/>
          </w:tcPr>
          <w:p w:rsidR="00467307" w:rsidRPr="005339C3" w:rsidRDefault="00467307" w:rsidP="00467307">
            <w:pPr>
              <w:pStyle w:val="Default"/>
              <w:spacing w:before="20" w:after="20"/>
              <w:rPr>
                <w:sz w:val="20"/>
                <w:szCs w:val="20"/>
              </w:rPr>
            </w:pPr>
            <w:r w:rsidRPr="005339C3">
              <w:rPr>
                <w:sz w:val="20"/>
                <w:szCs w:val="20"/>
              </w:rPr>
              <w:t>MWC acid gases as HCl and SO</w:t>
            </w:r>
            <w:r w:rsidRPr="005339C3">
              <w:rPr>
                <w:sz w:val="20"/>
                <w:szCs w:val="20"/>
                <w:vertAlign w:val="subscript"/>
              </w:rPr>
              <w:t>2</w:t>
            </w:r>
          </w:p>
        </w:tc>
        <w:tc>
          <w:tcPr>
            <w:tcW w:w="1800" w:type="dxa"/>
            <w:hideMark/>
          </w:tcPr>
          <w:p w:rsidR="00467307" w:rsidRPr="005339C3" w:rsidRDefault="00467307" w:rsidP="00467307">
            <w:pPr>
              <w:pStyle w:val="Default"/>
              <w:spacing w:before="20" w:after="20"/>
              <w:jc w:val="center"/>
              <w:rPr>
                <w:sz w:val="20"/>
                <w:szCs w:val="20"/>
              </w:rPr>
            </w:pPr>
            <w:r w:rsidRPr="005339C3">
              <w:rPr>
                <w:sz w:val="20"/>
                <w:szCs w:val="20"/>
              </w:rPr>
              <w:t>40</w:t>
            </w:r>
          </w:p>
        </w:tc>
      </w:tr>
      <w:tr w:rsidR="00467307" w:rsidRPr="005C0768" w:rsidTr="00467307">
        <w:trPr>
          <w:trHeight w:val="246"/>
        </w:trPr>
        <w:tc>
          <w:tcPr>
            <w:tcW w:w="2880" w:type="dxa"/>
            <w:hideMark/>
          </w:tcPr>
          <w:p w:rsidR="00467307" w:rsidRPr="005339C3" w:rsidRDefault="00467307" w:rsidP="00467307">
            <w:pPr>
              <w:autoSpaceDE w:val="0"/>
              <w:autoSpaceDN w:val="0"/>
              <w:adjustRightInd w:val="0"/>
              <w:spacing w:before="20" w:after="20"/>
              <w:rPr>
                <w:color w:val="000000"/>
              </w:rPr>
            </w:pPr>
            <w:r w:rsidRPr="005339C3">
              <w:rPr>
                <w:color w:val="000000"/>
              </w:rPr>
              <w:t xml:space="preserve">fluoride </w:t>
            </w:r>
          </w:p>
        </w:tc>
        <w:tc>
          <w:tcPr>
            <w:tcW w:w="1800" w:type="dxa"/>
            <w:hideMark/>
          </w:tcPr>
          <w:p w:rsidR="00467307" w:rsidRPr="005339C3" w:rsidRDefault="00467307" w:rsidP="00467307">
            <w:pPr>
              <w:autoSpaceDE w:val="0"/>
              <w:autoSpaceDN w:val="0"/>
              <w:adjustRightInd w:val="0"/>
              <w:spacing w:before="20" w:after="20"/>
              <w:jc w:val="center"/>
              <w:rPr>
                <w:color w:val="000000"/>
              </w:rPr>
            </w:pPr>
            <w:r w:rsidRPr="005339C3">
              <w:rPr>
                <w:color w:val="000000"/>
              </w:rPr>
              <w:t>3</w:t>
            </w:r>
          </w:p>
        </w:tc>
        <w:tc>
          <w:tcPr>
            <w:tcW w:w="3240" w:type="dxa"/>
            <w:hideMark/>
          </w:tcPr>
          <w:p w:rsidR="00467307" w:rsidRPr="005339C3" w:rsidRDefault="00467307" w:rsidP="00467307">
            <w:pPr>
              <w:autoSpaceDE w:val="0"/>
              <w:autoSpaceDN w:val="0"/>
              <w:adjustRightInd w:val="0"/>
              <w:spacing w:before="20" w:after="20"/>
              <w:rPr>
                <w:color w:val="000000"/>
              </w:rPr>
            </w:pPr>
            <w:r w:rsidRPr="005339C3">
              <w:rPr>
                <w:color w:val="000000"/>
              </w:rPr>
              <w:t xml:space="preserve">lead </w:t>
            </w:r>
          </w:p>
        </w:tc>
        <w:tc>
          <w:tcPr>
            <w:tcW w:w="1800" w:type="dxa"/>
            <w:hideMark/>
          </w:tcPr>
          <w:p w:rsidR="00467307" w:rsidRPr="005339C3" w:rsidRDefault="00467307" w:rsidP="00467307">
            <w:pPr>
              <w:autoSpaceDE w:val="0"/>
              <w:autoSpaceDN w:val="0"/>
              <w:adjustRightInd w:val="0"/>
              <w:spacing w:before="20" w:after="20"/>
              <w:jc w:val="center"/>
              <w:rPr>
                <w:color w:val="000000"/>
              </w:rPr>
            </w:pPr>
            <w:r w:rsidRPr="005339C3">
              <w:rPr>
                <w:color w:val="000000"/>
              </w:rPr>
              <w:t>0.6</w:t>
            </w:r>
          </w:p>
        </w:tc>
      </w:tr>
      <w:tr w:rsidR="00467307" w:rsidRPr="005C0768" w:rsidTr="00467307">
        <w:trPr>
          <w:trHeight w:val="246"/>
        </w:trPr>
        <w:tc>
          <w:tcPr>
            <w:tcW w:w="2880" w:type="dxa"/>
            <w:hideMark/>
          </w:tcPr>
          <w:p w:rsidR="00467307" w:rsidRPr="005339C3" w:rsidRDefault="00467307" w:rsidP="00467307">
            <w:pPr>
              <w:autoSpaceDE w:val="0"/>
              <w:autoSpaceDN w:val="0"/>
              <w:adjustRightInd w:val="0"/>
              <w:spacing w:before="20" w:after="20"/>
              <w:rPr>
                <w:color w:val="000000"/>
              </w:rPr>
            </w:pPr>
            <w:r w:rsidRPr="005339C3">
              <w:rPr>
                <w:color w:val="000000"/>
              </w:rPr>
              <w:t>mercury</w:t>
            </w:r>
          </w:p>
        </w:tc>
        <w:tc>
          <w:tcPr>
            <w:tcW w:w="1800" w:type="dxa"/>
            <w:hideMark/>
          </w:tcPr>
          <w:p w:rsidR="00467307" w:rsidRPr="005339C3" w:rsidRDefault="00467307" w:rsidP="00467307">
            <w:pPr>
              <w:autoSpaceDE w:val="0"/>
              <w:autoSpaceDN w:val="0"/>
              <w:adjustRightInd w:val="0"/>
              <w:spacing w:before="20" w:after="20"/>
              <w:jc w:val="center"/>
              <w:rPr>
                <w:color w:val="000000"/>
              </w:rPr>
            </w:pPr>
            <w:r w:rsidRPr="005339C3">
              <w:rPr>
                <w:color w:val="000000"/>
              </w:rPr>
              <w:t xml:space="preserve">0.1 </w:t>
            </w:r>
          </w:p>
        </w:tc>
        <w:tc>
          <w:tcPr>
            <w:tcW w:w="3240" w:type="dxa"/>
            <w:hideMark/>
          </w:tcPr>
          <w:p w:rsidR="00467307" w:rsidRPr="005339C3" w:rsidRDefault="00467307" w:rsidP="00467307">
            <w:pPr>
              <w:autoSpaceDE w:val="0"/>
              <w:autoSpaceDN w:val="0"/>
              <w:adjustRightInd w:val="0"/>
              <w:spacing w:before="20" w:after="20"/>
              <w:rPr>
                <w:color w:val="000000"/>
              </w:rPr>
            </w:pPr>
            <w:r w:rsidRPr="005339C3">
              <w:rPr>
                <w:color w:val="000000"/>
              </w:rPr>
              <w:t>S</w:t>
            </w:r>
            <w:r>
              <w:rPr>
                <w:color w:val="000000"/>
              </w:rPr>
              <w:t>ulfuric acid mist (S</w:t>
            </w:r>
            <w:r w:rsidRPr="005339C3">
              <w:rPr>
                <w:color w:val="000000"/>
              </w:rPr>
              <w:t>AM</w:t>
            </w:r>
            <w:r>
              <w:rPr>
                <w:color w:val="000000"/>
              </w:rPr>
              <w:t>)</w:t>
            </w:r>
            <w:r w:rsidRPr="005339C3">
              <w:rPr>
                <w:color w:val="000000"/>
              </w:rPr>
              <w:t xml:space="preserve"> </w:t>
            </w:r>
          </w:p>
        </w:tc>
        <w:tc>
          <w:tcPr>
            <w:tcW w:w="1800" w:type="dxa"/>
            <w:hideMark/>
          </w:tcPr>
          <w:p w:rsidR="00467307" w:rsidRPr="005339C3" w:rsidRDefault="00467307" w:rsidP="00467307">
            <w:pPr>
              <w:autoSpaceDE w:val="0"/>
              <w:autoSpaceDN w:val="0"/>
              <w:adjustRightInd w:val="0"/>
              <w:spacing w:before="20" w:after="20"/>
              <w:jc w:val="center"/>
              <w:rPr>
                <w:color w:val="000000"/>
              </w:rPr>
            </w:pPr>
            <w:r w:rsidRPr="005339C3">
              <w:rPr>
                <w:color w:val="000000"/>
              </w:rPr>
              <w:t>7</w:t>
            </w:r>
          </w:p>
        </w:tc>
      </w:tr>
      <w:tr w:rsidR="00467307" w:rsidRPr="005C0768" w:rsidTr="00467307">
        <w:trPr>
          <w:trHeight w:val="255"/>
        </w:trPr>
        <w:tc>
          <w:tcPr>
            <w:tcW w:w="2880" w:type="dxa"/>
            <w:hideMark/>
          </w:tcPr>
          <w:p w:rsidR="00467307" w:rsidRPr="005339C3" w:rsidRDefault="00467307" w:rsidP="00467307">
            <w:pPr>
              <w:pStyle w:val="Default"/>
              <w:spacing w:before="20" w:after="20"/>
              <w:rPr>
                <w:sz w:val="20"/>
                <w:szCs w:val="20"/>
              </w:rPr>
            </w:pPr>
            <w:r w:rsidRPr="005339C3">
              <w:rPr>
                <w:sz w:val="20"/>
                <w:szCs w:val="20"/>
              </w:rPr>
              <w:t>MWC organics as dioxin/furan</w:t>
            </w:r>
          </w:p>
        </w:tc>
        <w:tc>
          <w:tcPr>
            <w:tcW w:w="1800" w:type="dxa"/>
            <w:hideMark/>
          </w:tcPr>
          <w:p w:rsidR="00467307" w:rsidRPr="005339C3" w:rsidRDefault="00467307" w:rsidP="00467307">
            <w:pPr>
              <w:pStyle w:val="Default"/>
              <w:spacing w:before="20" w:after="20"/>
              <w:jc w:val="center"/>
              <w:rPr>
                <w:sz w:val="20"/>
                <w:szCs w:val="20"/>
              </w:rPr>
            </w:pPr>
            <w:r w:rsidRPr="005339C3">
              <w:rPr>
                <w:sz w:val="20"/>
                <w:szCs w:val="20"/>
              </w:rPr>
              <w:t>3.5 x 10</w:t>
            </w:r>
            <w:r w:rsidRPr="005339C3">
              <w:rPr>
                <w:sz w:val="20"/>
                <w:szCs w:val="20"/>
                <w:vertAlign w:val="superscript"/>
              </w:rPr>
              <w:t>-6</w:t>
            </w:r>
          </w:p>
        </w:tc>
        <w:tc>
          <w:tcPr>
            <w:tcW w:w="3240" w:type="dxa"/>
            <w:hideMark/>
          </w:tcPr>
          <w:p w:rsidR="00467307" w:rsidRPr="005339C3" w:rsidRDefault="00467307" w:rsidP="00467307">
            <w:pPr>
              <w:pStyle w:val="Default"/>
              <w:spacing w:before="20" w:after="20"/>
              <w:rPr>
                <w:sz w:val="20"/>
                <w:szCs w:val="20"/>
              </w:rPr>
            </w:pPr>
            <w:r w:rsidRPr="005339C3">
              <w:rPr>
                <w:sz w:val="20"/>
                <w:szCs w:val="20"/>
              </w:rPr>
              <w:t>MSW Landfill Emissions as NMOC</w:t>
            </w:r>
          </w:p>
        </w:tc>
        <w:tc>
          <w:tcPr>
            <w:tcW w:w="1800" w:type="dxa"/>
            <w:hideMark/>
          </w:tcPr>
          <w:p w:rsidR="00467307" w:rsidRPr="005339C3" w:rsidRDefault="00467307" w:rsidP="00467307">
            <w:pPr>
              <w:pStyle w:val="Default"/>
              <w:spacing w:before="20" w:after="20"/>
              <w:jc w:val="center"/>
              <w:rPr>
                <w:sz w:val="20"/>
                <w:szCs w:val="20"/>
              </w:rPr>
            </w:pPr>
            <w:r w:rsidRPr="005339C3">
              <w:rPr>
                <w:sz w:val="20"/>
                <w:szCs w:val="20"/>
              </w:rPr>
              <w:t>50</w:t>
            </w:r>
          </w:p>
        </w:tc>
      </w:tr>
      <w:tr w:rsidR="00467307" w:rsidRPr="005C0768" w:rsidTr="00467307">
        <w:trPr>
          <w:trHeight w:val="311"/>
        </w:trPr>
        <w:tc>
          <w:tcPr>
            <w:tcW w:w="9720" w:type="dxa"/>
            <w:gridSpan w:val="4"/>
            <w:hideMark/>
          </w:tcPr>
          <w:p w:rsidR="00467307" w:rsidRPr="00747D18" w:rsidRDefault="00467307" w:rsidP="00D623D7">
            <w:pPr>
              <w:numPr>
                <w:ilvl w:val="0"/>
                <w:numId w:val="7"/>
              </w:numPr>
              <w:tabs>
                <w:tab w:val="clear" w:pos="1080"/>
                <w:tab w:val="num" w:pos="342"/>
              </w:tabs>
              <w:autoSpaceDE w:val="0"/>
              <w:autoSpaceDN w:val="0"/>
              <w:adjustRightInd w:val="0"/>
              <w:ind w:left="342" w:hanging="328"/>
              <w:rPr>
                <w:color w:val="000000"/>
                <w:sz w:val="18"/>
                <w:szCs w:val="18"/>
              </w:rPr>
            </w:pPr>
            <w:r w:rsidRPr="00747D18">
              <w:rPr>
                <w:color w:val="000000"/>
                <w:sz w:val="18"/>
                <w:szCs w:val="18"/>
              </w:rPr>
              <w:t>PM</w:t>
            </w:r>
            <w:r w:rsidRPr="00747D18">
              <w:rPr>
                <w:color w:val="000000"/>
                <w:sz w:val="18"/>
                <w:szCs w:val="18"/>
                <w:vertAlign w:val="subscript"/>
              </w:rPr>
              <w:t>2.5</w:t>
            </w:r>
            <w:r w:rsidRPr="00747D18">
              <w:rPr>
                <w:color w:val="000000"/>
                <w:sz w:val="18"/>
                <w:szCs w:val="18"/>
              </w:rPr>
              <w:t xml:space="preserve"> is also regulated through precursors (NO</w:t>
            </w:r>
            <w:r w:rsidRPr="00747D18">
              <w:rPr>
                <w:color w:val="000000"/>
                <w:sz w:val="18"/>
                <w:szCs w:val="18"/>
                <w:vertAlign w:val="subscript"/>
              </w:rPr>
              <w:t>X</w:t>
            </w:r>
            <w:r w:rsidRPr="00747D18">
              <w:rPr>
                <w:color w:val="000000"/>
                <w:sz w:val="18"/>
                <w:szCs w:val="18"/>
              </w:rPr>
              <w:t xml:space="preserve"> and SO</w:t>
            </w:r>
            <w:r w:rsidRPr="00747D18">
              <w:rPr>
                <w:color w:val="000000"/>
                <w:sz w:val="18"/>
                <w:szCs w:val="18"/>
                <w:vertAlign w:val="subscript"/>
              </w:rPr>
              <w:t>2</w:t>
            </w:r>
            <w:r w:rsidRPr="00747D18">
              <w:rPr>
                <w:color w:val="000000"/>
                <w:sz w:val="18"/>
                <w:szCs w:val="18"/>
              </w:rPr>
              <w:t>); Ozone (O</w:t>
            </w:r>
            <w:r w:rsidRPr="00747D18">
              <w:rPr>
                <w:color w:val="000000"/>
                <w:sz w:val="18"/>
                <w:szCs w:val="18"/>
                <w:vertAlign w:val="subscript"/>
              </w:rPr>
              <w:t>3</w:t>
            </w:r>
            <w:r w:rsidRPr="00747D18">
              <w:rPr>
                <w:color w:val="000000"/>
                <w:sz w:val="18"/>
                <w:szCs w:val="18"/>
              </w:rPr>
              <w:t>) is regulated through precursors (VOC and NO</w:t>
            </w:r>
            <w:r w:rsidRPr="00747D18">
              <w:rPr>
                <w:color w:val="000000"/>
                <w:sz w:val="18"/>
                <w:szCs w:val="18"/>
                <w:vertAlign w:val="subscript"/>
              </w:rPr>
              <w:t>X</w:t>
            </w:r>
            <w:r w:rsidRPr="00747D18">
              <w:rPr>
                <w:color w:val="000000"/>
                <w:sz w:val="18"/>
                <w:szCs w:val="18"/>
              </w:rPr>
              <w:t>).</w:t>
            </w:r>
          </w:p>
          <w:p w:rsidR="00467307" w:rsidRPr="005339C3" w:rsidRDefault="00467307" w:rsidP="00D623D7">
            <w:pPr>
              <w:numPr>
                <w:ilvl w:val="0"/>
                <w:numId w:val="7"/>
              </w:numPr>
              <w:tabs>
                <w:tab w:val="clear" w:pos="1080"/>
                <w:tab w:val="num" w:pos="342"/>
              </w:tabs>
              <w:autoSpaceDE w:val="0"/>
              <w:autoSpaceDN w:val="0"/>
              <w:adjustRightInd w:val="0"/>
              <w:spacing w:after="20"/>
              <w:ind w:left="345" w:hanging="331"/>
              <w:rPr>
                <w:color w:val="000000"/>
                <w:sz w:val="16"/>
                <w:szCs w:val="16"/>
              </w:rPr>
            </w:pPr>
            <w:r w:rsidRPr="005339C3">
              <w:rPr>
                <w:color w:val="000000"/>
                <w:sz w:val="18"/>
                <w:szCs w:val="18"/>
              </w:rPr>
              <w:t>The</w:t>
            </w:r>
            <w:r>
              <w:rPr>
                <w:color w:val="000000"/>
                <w:sz w:val="18"/>
                <w:szCs w:val="18"/>
              </w:rPr>
              <w:t>re is</w:t>
            </w:r>
            <w:r w:rsidRPr="005339C3">
              <w:rPr>
                <w:color w:val="000000"/>
                <w:sz w:val="18"/>
                <w:szCs w:val="18"/>
              </w:rPr>
              <w:t xml:space="preserve"> federal SER of 75,000 </w:t>
            </w:r>
            <w:r w:rsidRPr="00EA3964">
              <w:rPr>
                <w:color w:val="000000"/>
                <w:sz w:val="18"/>
                <w:szCs w:val="18"/>
              </w:rPr>
              <w:t>tons/year</w:t>
            </w:r>
            <w:r w:rsidRPr="005339C3">
              <w:rPr>
                <w:color w:val="000000"/>
                <w:sz w:val="18"/>
                <w:szCs w:val="18"/>
              </w:rPr>
              <w:t xml:space="preserve"> for Greenhouse Gases (GHG) as carbon dioxide equivalent (CO</w:t>
            </w:r>
            <w:r w:rsidRPr="005339C3">
              <w:rPr>
                <w:color w:val="000000"/>
                <w:sz w:val="18"/>
                <w:szCs w:val="18"/>
                <w:vertAlign w:val="subscript"/>
              </w:rPr>
              <w:t>2</w:t>
            </w:r>
            <w:r w:rsidRPr="005339C3">
              <w:rPr>
                <w:color w:val="000000"/>
                <w:sz w:val="18"/>
                <w:szCs w:val="18"/>
              </w:rPr>
              <w:t xml:space="preserve">e) </w:t>
            </w:r>
            <w:r>
              <w:rPr>
                <w:color w:val="000000"/>
                <w:sz w:val="18"/>
                <w:szCs w:val="18"/>
              </w:rPr>
              <w:t xml:space="preserve">that </w:t>
            </w:r>
            <w:r w:rsidRPr="005339C3">
              <w:rPr>
                <w:color w:val="000000"/>
                <w:sz w:val="18"/>
                <w:szCs w:val="18"/>
              </w:rPr>
              <w:t xml:space="preserve">has not been incorporated into Department rules. </w:t>
            </w:r>
          </w:p>
        </w:tc>
      </w:tr>
    </w:tbl>
    <w:p w:rsidR="00467307" w:rsidRDefault="00467307" w:rsidP="00420601">
      <w:pPr>
        <w:spacing w:before="120" w:after="60"/>
        <w:rPr>
          <w:sz w:val="22"/>
          <w:szCs w:val="22"/>
        </w:rPr>
      </w:pPr>
      <w:r>
        <w:rPr>
          <w:sz w:val="22"/>
          <w:szCs w:val="22"/>
        </w:rPr>
        <w:t>In addition to triggering the PSD rules by physical or operational changes, it is also possible to do so as a result of relaxation of enforceable conditions such as emissions, hours of operation and process rates or by exceeding projected actual emissions (designed to avoid PSD).  These situations are addressed by the “Source Obligation” provisions in Rule 62-212.400(12), F.A.C. which states:</w:t>
      </w:r>
    </w:p>
    <w:p w:rsidR="00467307" w:rsidRPr="006B49D1" w:rsidRDefault="00467307" w:rsidP="00467307">
      <w:pPr>
        <w:autoSpaceDE w:val="0"/>
        <w:autoSpaceDN w:val="0"/>
        <w:adjustRightInd w:val="0"/>
        <w:spacing w:after="60"/>
        <w:ind w:left="360" w:hanging="360"/>
        <w:rPr>
          <w:i/>
          <w:sz w:val="22"/>
          <w:szCs w:val="22"/>
        </w:rPr>
      </w:pPr>
      <w:r w:rsidRPr="006B49D1">
        <w:rPr>
          <w:i/>
          <w:sz w:val="22"/>
          <w:szCs w:val="22"/>
        </w:rPr>
        <w:t>(a)</w:t>
      </w:r>
      <w:r w:rsidRPr="006B49D1">
        <w:rPr>
          <w:i/>
          <w:sz w:val="22"/>
          <w:szCs w:val="22"/>
        </w:rPr>
        <w:tab/>
        <w:t>At such time that a particular source or modification becomes a major stationary source or major modification (as these terms were defined at the time the source obtained the enforceable limitation) solely by virtue of a relaxation in any enforceable limitation which was established after August 7, 1980, on the capacity of the source or modification otherwise to emit a pollutant, such as a restriction on hours of operation, then the requirements of subsections 62-212.400(4) through (12), F.A.C., shall apply to the source or modification as though construction had not yet commenced on the source or modification.</w:t>
      </w:r>
    </w:p>
    <w:p w:rsidR="00467307" w:rsidRPr="006B49D1" w:rsidRDefault="00467307" w:rsidP="00467307">
      <w:pPr>
        <w:autoSpaceDE w:val="0"/>
        <w:autoSpaceDN w:val="0"/>
        <w:adjustRightInd w:val="0"/>
        <w:spacing w:after="120"/>
        <w:ind w:left="360" w:hanging="360"/>
        <w:rPr>
          <w:i/>
          <w:sz w:val="22"/>
          <w:szCs w:val="22"/>
        </w:rPr>
      </w:pPr>
      <w:r w:rsidRPr="006B49D1">
        <w:rPr>
          <w:i/>
          <w:sz w:val="22"/>
          <w:szCs w:val="22"/>
        </w:rPr>
        <w:t>(b)</w:t>
      </w:r>
      <w:r w:rsidRPr="006B49D1">
        <w:rPr>
          <w:i/>
          <w:sz w:val="22"/>
          <w:szCs w:val="22"/>
        </w:rPr>
        <w:tab/>
        <w:t>At such time that a particular source or modification becomes a major stationary source or major modification (as these terms were defined at the time the source obtained the enforceable limitation) solely by exceeding its projected actual emissions, then the requirements of subsections 62-212.400(4) through (12), F.A.C., shall apply to the source or modification as though construction had not yet commenced on the source or modification.</w:t>
      </w:r>
    </w:p>
    <w:p w:rsidR="00467307" w:rsidRDefault="00467307" w:rsidP="00467307">
      <w:pPr>
        <w:widowControl w:val="0"/>
        <w:spacing w:after="120"/>
        <w:ind w:right="-86"/>
        <w:rPr>
          <w:rFonts w:eastAsia="Calibri"/>
          <w:sz w:val="22"/>
          <w:szCs w:val="22"/>
        </w:rPr>
      </w:pPr>
      <w:r>
        <w:rPr>
          <w:rFonts w:eastAsia="Calibri"/>
          <w:sz w:val="22"/>
          <w:szCs w:val="22"/>
        </w:rPr>
        <w:t xml:space="preserve">The reason paragraph (a) is relevant in the present analysis is because the County </w:t>
      </w:r>
      <w:r w:rsidR="008355D4">
        <w:rPr>
          <w:rFonts w:eastAsia="Calibri"/>
          <w:sz w:val="22"/>
          <w:szCs w:val="22"/>
        </w:rPr>
        <w:t xml:space="preserve">requested </w:t>
      </w:r>
      <w:r>
        <w:rPr>
          <w:rFonts w:eastAsia="Calibri"/>
          <w:sz w:val="22"/>
          <w:szCs w:val="22"/>
        </w:rPr>
        <w:t xml:space="preserve">that </w:t>
      </w:r>
      <w:r w:rsidR="008355D4">
        <w:rPr>
          <w:rFonts w:eastAsia="Calibri"/>
          <w:sz w:val="22"/>
          <w:szCs w:val="22"/>
        </w:rPr>
        <w:t xml:space="preserve">the Units 1, 2 </w:t>
      </w:r>
      <w:r w:rsidR="008355D4">
        <w:rPr>
          <w:rFonts w:eastAsia="Calibri"/>
          <w:sz w:val="22"/>
          <w:szCs w:val="22"/>
        </w:rPr>
        <w:br/>
        <w:t xml:space="preserve">and 3 </w:t>
      </w:r>
      <w:r>
        <w:rPr>
          <w:sz w:val="22"/>
          <w:szCs w:val="22"/>
        </w:rPr>
        <w:t>capacit</w:t>
      </w:r>
      <w:r w:rsidR="008355D4">
        <w:rPr>
          <w:sz w:val="22"/>
          <w:szCs w:val="22"/>
        </w:rPr>
        <w:t xml:space="preserve">ies </w:t>
      </w:r>
      <w:r>
        <w:rPr>
          <w:sz w:val="22"/>
          <w:szCs w:val="22"/>
        </w:rPr>
        <w:t>be based on</w:t>
      </w:r>
      <w:r w:rsidR="008355D4">
        <w:rPr>
          <w:sz w:val="22"/>
          <w:szCs w:val="22"/>
        </w:rPr>
        <w:t xml:space="preserve">ly on </w:t>
      </w:r>
      <w:r>
        <w:rPr>
          <w:sz w:val="22"/>
          <w:szCs w:val="22"/>
        </w:rPr>
        <w:t xml:space="preserve">the monitored steam flow </w:t>
      </w:r>
      <w:r w:rsidR="008355D4">
        <w:rPr>
          <w:sz w:val="22"/>
          <w:szCs w:val="22"/>
        </w:rPr>
        <w:t>(4-hour block) and not also o</w:t>
      </w:r>
      <w:r>
        <w:rPr>
          <w:sz w:val="22"/>
          <w:szCs w:val="22"/>
        </w:rPr>
        <w:t xml:space="preserve">n </w:t>
      </w:r>
      <w:r w:rsidR="008355D4">
        <w:rPr>
          <w:sz w:val="22"/>
          <w:szCs w:val="22"/>
        </w:rPr>
        <w:t xml:space="preserve">the heat input and </w:t>
      </w:r>
      <w:r>
        <w:rPr>
          <w:sz w:val="22"/>
          <w:szCs w:val="22"/>
        </w:rPr>
        <w:t>solid waste throughput.</w:t>
      </w:r>
      <w:r>
        <w:rPr>
          <w:rFonts w:eastAsia="Calibri"/>
          <w:sz w:val="22"/>
          <w:szCs w:val="22"/>
        </w:rPr>
        <w:t xml:space="preserve">  The </w:t>
      </w:r>
      <w:r w:rsidR="00270A4F">
        <w:rPr>
          <w:rFonts w:eastAsia="Calibri"/>
          <w:sz w:val="22"/>
          <w:szCs w:val="22"/>
        </w:rPr>
        <w:t xml:space="preserve">present </w:t>
      </w:r>
      <w:r>
        <w:rPr>
          <w:rFonts w:eastAsia="Calibri"/>
          <w:sz w:val="22"/>
          <w:szCs w:val="22"/>
        </w:rPr>
        <w:t xml:space="preserve">steam limitation must be evaluated to determine how strict and stringent it </w:t>
      </w:r>
      <w:r w:rsidR="00270A4F">
        <w:rPr>
          <w:rFonts w:eastAsia="Calibri"/>
          <w:sz w:val="22"/>
          <w:szCs w:val="22"/>
        </w:rPr>
        <w:t xml:space="preserve">is compared with the </w:t>
      </w:r>
      <w:r>
        <w:rPr>
          <w:rFonts w:eastAsia="Calibri"/>
          <w:sz w:val="22"/>
          <w:szCs w:val="22"/>
        </w:rPr>
        <w:t xml:space="preserve">waste </w:t>
      </w:r>
      <w:r w:rsidR="00270A4F">
        <w:rPr>
          <w:rFonts w:eastAsia="Calibri"/>
          <w:sz w:val="22"/>
          <w:szCs w:val="22"/>
        </w:rPr>
        <w:t xml:space="preserve">and </w:t>
      </w:r>
      <w:r>
        <w:rPr>
          <w:rFonts w:eastAsia="Calibri"/>
          <w:sz w:val="22"/>
          <w:szCs w:val="22"/>
        </w:rPr>
        <w:t>heat input limitations that will be re</w:t>
      </w:r>
      <w:r w:rsidR="00270A4F">
        <w:rPr>
          <w:rFonts w:eastAsia="Calibri"/>
          <w:sz w:val="22"/>
          <w:szCs w:val="22"/>
        </w:rPr>
        <w:t>moved</w:t>
      </w:r>
      <w:r>
        <w:rPr>
          <w:rFonts w:eastAsia="Calibri"/>
          <w:sz w:val="22"/>
          <w:szCs w:val="22"/>
        </w:rPr>
        <w:t xml:space="preserve">.  </w:t>
      </w:r>
    </w:p>
    <w:p w:rsidR="00467307" w:rsidRPr="001B4BA3" w:rsidRDefault="00467307" w:rsidP="00D623D7">
      <w:pPr>
        <w:widowControl w:val="0"/>
        <w:numPr>
          <w:ilvl w:val="1"/>
          <w:numId w:val="8"/>
        </w:numPr>
        <w:tabs>
          <w:tab w:val="left" w:pos="450"/>
        </w:tabs>
        <w:spacing w:after="120"/>
        <w:ind w:left="446" w:hanging="446"/>
        <w:rPr>
          <w:b/>
          <w:sz w:val="22"/>
          <w:szCs w:val="22"/>
        </w:rPr>
      </w:pPr>
      <w:r w:rsidRPr="001B4BA3">
        <w:rPr>
          <w:b/>
          <w:sz w:val="22"/>
          <w:szCs w:val="22"/>
        </w:rPr>
        <w:t>PSD Applicability for the Project</w:t>
      </w:r>
    </w:p>
    <w:p w:rsidR="00467307" w:rsidRDefault="00467307" w:rsidP="00467307">
      <w:pPr>
        <w:widowControl w:val="0"/>
        <w:spacing w:after="120"/>
        <w:rPr>
          <w:sz w:val="22"/>
          <w:szCs w:val="22"/>
        </w:rPr>
      </w:pPr>
      <w:r w:rsidRPr="00290299">
        <w:rPr>
          <w:sz w:val="22"/>
          <w:szCs w:val="22"/>
        </w:rPr>
        <w:t xml:space="preserve">The project is located in </w:t>
      </w:r>
      <w:r w:rsidR="00270A4F">
        <w:rPr>
          <w:sz w:val="22"/>
          <w:szCs w:val="22"/>
        </w:rPr>
        <w:t xml:space="preserve">Hillsborough </w:t>
      </w:r>
      <w:r w:rsidRPr="00290299">
        <w:rPr>
          <w:sz w:val="22"/>
          <w:szCs w:val="22"/>
        </w:rPr>
        <w:t>County, which is in an area that is currently in attainment with the state and federal AAQS or otherwise designated as uncla</w:t>
      </w:r>
      <w:r w:rsidRPr="00AD0C6C">
        <w:rPr>
          <w:sz w:val="22"/>
          <w:szCs w:val="22"/>
        </w:rPr>
        <w:t xml:space="preserve">ssifiable.  </w:t>
      </w:r>
      <w:r w:rsidR="00270A4F">
        <w:rPr>
          <w:sz w:val="22"/>
          <w:szCs w:val="22"/>
        </w:rPr>
        <w:t xml:space="preserve">A small area near a lead acid battery recycling facility is not in attainment </w:t>
      </w:r>
    </w:p>
    <w:p w:rsidR="00467307" w:rsidRPr="00910A7D" w:rsidRDefault="00467307" w:rsidP="00467307">
      <w:pPr>
        <w:widowControl w:val="0"/>
        <w:spacing w:after="120"/>
        <w:rPr>
          <w:b/>
          <w:i/>
          <w:sz w:val="22"/>
          <w:szCs w:val="22"/>
        </w:rPr>
      </w:pPr>
      <w:r>
        <w:rPr>
          <w:b/>
          <w:i/>
          <w:sz w:val="22"/>
          <w:szCs w:val="22"/>
        </w:rPr>
        <w:t>Methodology for Calculations of Baseline Actual Emissions and Projected Actual Emissions</w:t>
      </w:r>
    </w:p>
    <w:p w:rsidR="00467307" w:rsidRDefault="00467307" w:rsidP="00467307">
      <w:pPr>
        <w:autoSpaceDE w:val="0"/>
        <w:autoSpaceDN w:val="0"/>
        <w:adjustRightInd w:val="0"/>
        <w:spacing w:after="120"/>
        <w:rPr>
          <w:sz w:val="22"/>
          <w:szCs w:val="22"/>
        </w:rPr>
      </w:pPr>
      <w:r>
        <w:rPr>
          <w:sz w:val="22"/>
          <w:szCs w:val="22"/>
        </w:rPr>
        <w:t xml:space="preserve">To determine whether the project causes net emissions increases equal to or greater than the respective SER (triggering PSD) requires a comparison of recent “baseline actual emissions” with future “projected actual emissions”.  </w:t>
      </w:r>
      <w:r w:rsidRPr="00E144DB">
        <w:rPr>
          <w:sz w:val="22"/>
          <w:szCs w:val="22"/>
        </w:rPr>
        <w:t>According to Rule 62-210.200(Definitions), F.A.C., for an existing unit (other than an electric steam generating unit)</w:t>
      </w:r>
      <w:r>
        <w:rPr>
          <w:sz w:val="22"/>
          <w:szCs w:val="22"/>
        </w:rPr>
        <w:t>:</w:t>
      </w:r>
    </w:p>
    <w:p w:rsidR="00373374" w:rsidRDefault="00467307" w:rsidP="00467307">
      <w:pPr>
        <w:autoSpaceDE w:val="0"/>
        <w:autoSpaceDN w:val="0"/>
        <w:adjustRightInd w:val="0"/>
        <w:spacing w:after="120"/>
        <w:rPr>
          <w:i/>
          <w:sz w:val="22"/>
          <w:szCs w:val="22"/>
        </w:rPr>
      </w:pPr>
      <w:r w:rsidRPr="00F63636">
        <w:rPr>
          <w:i/>
          <w:sz w:val="22"/>
          <w:szCs w:val="22"/>
        </w:rPr>
        <w:t>“Baseline Actual Emissions” means the rate of emissions, in tons/year of a PSD pollutant, at which the emissions unit actually emitted the pollutant during any consecutive 24-month period selected by the owner or operator within the 10-year period immediately preceding the date a complete permit application</w:t>
      </w:r>
      <w:r w:rsidRPr="00293BF5">
        <w:rPr>
          <w:sz w:val="22"/>
          <w:szCs w:val="22"/>
        </w:rPr>
        <w:t xml:space="preserve"> </w:t>
      </w:r>
      <w:r w:rsidRPr="00293BF5">
        <w:rPr>
          <w:i/>
          <w:sz w:val="22"/>
          <w:szCs w:val="22"/>
        </w:rPr>
        <w:t>is received by the Department</w:t>
      </w:r>
      <w:r w:rsidRPr="00F63636">
        <w:rPr>
          <w:i/>
          <w:sz w:val="22"/>
          <w:szCs w:val="22"/>
        </w:rPr>
        <w:t>.</w:t>
      </w:r>
    </w:p>
    <w:p w:rsidR="00373374" w:rsidRDefault="00373374">
      <w:pPr>
        <w:rPr>
          <w:i/>
          <w:sz w:val="22"/>
          <w:szCs w:val="22"/>
        </w:rPr>
      </w:pPr>
      <w:r>
        <w:rPr>
          <w:i/>
          <w:sz w:val="22"/>
          <w:szCs w:val="22"/>
        </w:rPr>
        <w:br w:type="page"/>
      </w:r>
    </w:p>
    <w:p w:rsidR="00512308" w:rsidRPr="00326C19" w:rsidRDefault="00512308" w:rsidP="00512308">
      <w:pPr>
        <w:autoSpaceDE w:val="0"/>
        <w:autoSpaceDN w:val="0"/>
        <w:adjustRightInd w:val="0"/>
        <w:spacing w:before="120" w:after="120"/>
        <w:rPr>
          <w:i/>
          <w:sz w:val="22"/>
          <w:szCs w:val="22"/>
        </w:rPr>
      </w:pPr>
      <w:r w:rsidRPr="00CD3805">
        <w:rPr>
          <w:i/>
          <w:sz w:val="22"/>
          <w:szCs w:val="22"/>
        </w:rPr>
        <w:lastRenderedPageBreak/>
        <w:t>“Projected Actual Emissions”</w:t>
      </w:r>
      <w:r w:rsidRPr="00326C19">
        <w:rPr>
          <w:i/>
          <w:sz w:val="22"/>
          <w:szCs w:val="22"/>
        </w:rPr>
        <w:t xml:space="preserve"> means the maximum annual rate, in tons/year, at which an existing emissions unit is projected to emit a PSD pollutant in </w:t>
      </w:r>
      <w:r w:rsidRPr="00326C19">
        <w:rPr>
          <w:b/>
          <w:i/>
          <w:sz w:val="22"/>
          <w:szCs w:val="22"/>
        </w:rPr>
        <w:t>any one</w:t>
      </w:r>
      <w:r w:rsidRPr="00326C19">
        <w:rPr>
          <w:i/>
          <w:sz w:val="22"/>
          <w:szCs w:val="22"/>
        </w:rPr>
        <w:t xml:space="preserve"> of the 5 years following the date the unit resumes regular operation after the project, or in </w:t>
      </w:r>
      <w:r w:rsidRPr="00326C19">
        <w:rPr>
          <w:b/>
          <w:i/>
          <w:sz w:val="22"/>
          <w:szCs w:val="22"/>
        </w:rPr>
        <w:t>any one</w:t>
      </w:r>
      <w:r w:rsidRPr="00326C19">
        <w:rPr>
          <w:i/>
          <w:sz w:val="22"/>
          <w:szCs w:val="22"/>
        </w:rPr>
        <w:t xml:space="preserve"> of the 10 years following that date, if the project involves increasing the emissions unit's design capacity or its potential to emit that PSD pollutant and full utilization of the unit would result in a significant emissions increase or a significant net emissions increase at the major stationary source.  One year is one 12-month period. </w:t>
      </w:r>
      <w:r>
        <w:rPr>
          <w:i/>
          <w:sz w:val="22"/>
          <w:szCs w:val="22"/>
        </w:rPr>
        <w:t xml:space="preserve">  </w:t>
      </w:r>
      <w:r w:rsidRPr="00326C19">
        <w:rPr>
          <w:i/>
          <w:sz w:val="22"/>
          <w:szCs w:val="22"/>
        </w:rPr>
        <w:t>In determining the projected actual emissions, the Department:</w:t>
      </w:r>
    </w:p>
    <w:p w:rsidR="00512308" w:rsidRPr="00983DAB" w:rsidRDefault="00512308" w:rsidP="00D623D7">
      <w:pPr>
        <w:numPr>
          <w:ilvl w:val="0"/>
          <w:numId w:val="13"/>
        </w:numPr>
        <w:autoSpaceDE w:val="0"/>
        <w:autoSpaceDN w:val="0"/>
        <w:adjustRightInd w:val="0"/>
        <w:ind w:left="360"/>
        <w:rPr>
          <w:sz w:val="22"/>
          <w:szCs w:val="22"/>
        </w:rPr>
      </w:pPr>
      <w:r w:rsidRPr="00983DAB">
        <w:rPr>
          <w:sz w:val="22"/>
          <w:szCs w:val="22"/>
        </w:rPr>
        <w:t>Shall consider all relevant information, including historical operational data, the company’s own representations, the</w:t>
      </w:r>
      <w:r>
        <w:rPr>
          <w:sz w:val="22"/>
          <w:szCs w:val="22"/>
        </w:rPr>
        <w:t xml:space="preserve"> </w:t>
      </w:r>
      <w:r w:rsidRPr="00983DAB">
        <w:rPr>
          <w:sz w:val="22"/>
          <w:szCs w:val="22"/>
        </w:rPr>
        <w:t>company’s expected business activity and the company’s highest projections of business activity, the company’s filings with the</w:t>
      </w:r>
      <w:r>
        <w:rPr>
          <w:sz w:val="22"/>
          <w:szCs w:val="22"/>
        </w:rPr>
        <w:t xml:space="preserve"> </w:t>
      </w:r>
      <w:r w:rsidRPr="00983DAB">
        <w:rPr>
          <w:sz w:val="22"/>
          <w:szCs w:val="22"/>
        </w:rPr>
        <w:t>State or Federal regulatory authorities, and compliance plans or orders, including consent orders; and</w:t>
      </w:r>
    </w:p>
    <w:p w:rsidR="00512308" w:rsidRPr="00983DAB" w:rsidRDefault="00512308" w:rsidP="00D623D7">
      <w:pPr>
        <w:numPr>
          <w:ilvl w:val="0"/>
          <w:numId w:val="13"/>
        </w:numPr>
        <w:autoSpaceDE w:val="0"/>
        <w:autoSpaceDN w:val="0"/>
        <w:adjustRightInd w:val="0"/>
        <w:ind w:left="360"/>
        <w:rPr>
          <w:sz w:val="22"/>
          <w:szCs w:val="22"/>
        </w:rPr>
      </w:pPr>
      <w:r w:rsidRPr="00983DAB">
        <w:rPr>
          <w:sz w:val="22"/>
          <w:szCs w:val="22"/>
        </w:rPr>
        <w:t>Shall include fugitive emissions to the extent quantifiable and emissions associated with startups and shutdowns; and</w:t>
      </w:r>
    </w:p>
    <w:p w:rsidR="00512308" w:rsidRPr="00983DAB" w:rsidRDefault="00512308" w:rsidP="00D623D7">
      <w:pPr>
        <w:numPr>
          <w:ilvl w:val="0"/>
          <w:numId w:val="13"/>
        </w:numPr>
        <w:autoSpaceDE w:val="0"/>
        <w:autoSpaceDN w:val="0"/>
        <w:adjustRightInd w:val="0"/>
        <w:ind w:left="360"/>
        <w:rPr>
          <w:sz w:val="22"/>
          <w:szCs w:val="22"/>
        </w:rPr>
      </w:pPr>
      <w:r w:rsidRPr="00983DAB">
        <w:rPr>
          <w:sz w:val="22"/>
          <w:szCs w:val="22"/>
        </w:rPr>
        <w:t>Shall exclude that portion of the unit's emissions following the project that an existing unit could have accommodated during</w:t>
      </w:r>
      <w:r>
        <w:rPr>
          <w:sz w:val="22"/>
          <w:szCs w:val="22"/>
        </w:rPr>
        <w:t xml:space="preserve"> </w:t>
      </w:r>
      <w:r w:rsidRPr="00983DAB">
        <w:rPr>
          <w:sz w:val="22"/>
          <w:szCs w:val="22"/>
        </w:rPr>
        <w:t>the consecutive 24-month period used to establish the baseline actual emissions and that are also unrelated to the particular project</w:t>
      </w:r>
      <w:r>
        <w:rPr>
          <w:sz w:val="22"/>
          <w:szCs w:val="22"/>
        </w:rPr>
        <w:t xml:space="preserve"> </w:t>
      </w:r>
      <w:r w:rsidRPr="00983DAB">
        <w:rPr>
          <w:sz w:val="22"/>
          <w:szCs w:val="22"/>
        </w:rPr>
        <w:t>including any increased utilization due to product demand growth; or</w:t>
      </w:r>
    </w:p>
    <w:p w:rsidR="00512308" w:rsidRPr="00CD3805" w:rsidRDefault="00512308" w:rsidP="00D623D7">
      <w:pPr>
        <w:numPr>
          <w:ilvl w:val="0"/>
          <w:numId w:val="13"/>
        </w:numPr>
        <w:autoSpaceDE w:val="0"/>
        <w:autoSpaceDN w:val="0"/>
        <w:adjustRightInd w:val="0"/>
        <w:spacing w:after="120"/>
        <w:ind w:left="360"/>
        <w:rPr>
          <w:sz w:val="22"/>
          <w:szCs w:val="22"/>
        </w:rPr>
      </w:pPr>
      <w:r w:rsidRPr="00CD3805">
        <w:rPr>
          <w:sz w:val="22"/>
          <w:szCs w:val="22"/>
        </w:rPr>
        <w:t>In lieu of using the method set out in paragraphs (a) through (c) above, may be directed by the owner or operator to use the emissions unit’s potential to emit, in tons per year.</w:t>
      </w:r>
    </w:p>
    <w:p w:rsidR="00CD7B74" w:rsidRPr="00910A7D" w:rsidRDefault="00CD7B74" w:rsidP="00CD7B74">
      <w:pPr>
        <w:widowControl w:val="0"/>
        <w:spacing w:after="120"/>
        <w:rPr>
          <w:b/>
          <w:i/>
          <w:sz w:val="22"/>
          <w:szCs w:val="22"/>
        </w:rPr>
      </w:pPr>
      <w:r>
        <w:rPr>
          <w:b/>
          <w:i/>
          <w:sz w:val="22"/>
          <w:szCs w:val="22"/>
        </w:rPr>
        <w:t>Historical Operational Data from the Hillsborough County Resource Recovery Facility</w:t>
      </w:r>
    </w:p>
    <w:p w:rsidR="007364E6" w:rsidRPr="00CD7B74" w:rsidRDefault="00CB6032" w:rsidP="00467307">
      <w:pPr>
        <w:autoSpaceDE w:val="0"/>
        <w:autoSpaceDN w:val="0"/>
        <w:adjustRightInd w:val="0"/>
        <w:spacing w:after="120"/>
        <w:rPr>
          <w:sz w:val="22"/>
          <w:szCs w:val="22"/>
        </w:rPr>
      </w:pPr>
      <w:r>
        <w:rPr>
          <w:noProof/>
          <w:sz w:val="22"/>
          <w:szCs w:val="22"/>
        </w:rPr>
        <w:pict>
          <v:shape id="_x0000_s1067" type="#_x0000_t202" style="position:absolute;margin-left:96.2pt;margin-top:5.6pt;width:146.85pt;height:18.7pt;z-index:251693568;mso-height-percent:200;mso-height-percent:200;mso-width-relative:margin;mso-height-relative:margin" filled="f" stroked="f">
            <v:textbox style="mso-next-textbox:#_x0000_s1067;mso-fit-shape-to-text:t">
              <w:txbxContent>
                <w:p w:rsidR="00373374" w:rsidRPr="00311391" w:rsidRDefault="00373374" w:rsidP="00311391">
                  <w:pPr>
                    <w:rPr>
                      <w:rFonts w:ascii="Arial" w:hAnsi="Arial"/>
                      <w:b/>
                      <w:color w:val="E36C0A" w:themeColor="accent6" w:themeShade="BF"/>
                    </w:rPr>
                  </w:pPr>
                  <w:r w:rsidRPr="00311391">
                    <w:rPr>
                      <w:rFonts w:ascii="Arial" w:hAnsi="Arial"/>
                      <w:b/>
                      <w:color w:val="E36C0A" w:themeColor="accent6" w:themeShade="BF"/>
                    </w:rPr>
                    <w:t>Units 1-3 Steam Production</w:t>
                  </w:r>
                </w:p>
              </w:txbxContent>
            </v:textbox>
          </v:shape>
        </w:pict>
      </w:r>
      <w:r>
        <w:rPr>
          <w:noProof/>
          <w:sz w:val="22"/>
          <w:szCs w:val="22"/>
        </w:rPr>
        <w:pict>
          <v:shape id="_x0000_s1066" type="#_x0000_t202" style="position:absolute;margin-left:321.2pt;margin-top:240.8pt;width:146.85pt;height:18.7pt;z-index:251692544;mso-height-percent:200;mso-height-percent:200;mso-width-relative:margin;mso-height-relative:margin" filled="f" stroked="f">
            <v:textbox style="mso-next-textbox:#_x0000_s1066;mso-fit-shape-to-text:t">
              <w:txbxContent>
                <w:p w:rsidR="00373374" w:rsidRPr="00311391" w:rsidRDefault="00373374" w:rsidP="00311391">
                  <w:pPr>
                    <w:rPr>
                      <w:rFonts w:ascii="Arial" w:hAnsi="Arial"/>
                      <w:b/>
                      <w:color w:val="009A46"/>
                    </w:rPr>
                  </w:pPr>
                  <w:r w:rsidRPr="00311391">
                    <w:rPr>
                      <w:rFonts w:ascii="Arial" w:hAnsi="Arial"/>
                      <w:b/>
                      <w:color w:val="009A46"/>
                    </w:rPr>
                    <w:t>Unit 4 Steam Production</w:t>
                  </w:r>
                </w:p>
              </w:txbxContent>
            </v:textbox>
          </v:shape>
        </w:pict>
      </w:r>
      <w:r w:rsidR="00CD7B74" w:rsidRPr="00CD7B74">
        <w:rPr>
          <w:noProof/>
          <w:szCs w:val="22"/>
          <w:bdr w:val="single" w:sz="8" w:space="0" w:color="auto"/>
        </w:rPr>
        <w:drawing>
          <wp:inline distT="0" distB="0" distL="0" distR="0">
            <wp:extent cx="6330544" cy="3818535"/>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srcRect l="417" t="571" r="439" b="12547"/>
                    <a:stretch>
                      <a:fillRect/>
                    </a:stretch>
                  </pic:blipFill>
                  <pic:spPr bwMode="auto">
                    <a:xfrm>
                      <a:off x="0" y="0"/>
                      <a:ext cx="6338606" cy="3823398"/>
                    </a:xfrm>
                    <a:prstGeom prst="rect">
                      <a:avLst/>
                    </a:prstGeom>
                    <a:noFill/>
                    <a:ln w="9525">
                      <a:noFill/>
                      <a:miter lim="800000"/>
                      <a:headEnd/>
                      <a:tailEnd/>
                    </a:ln>
                  </pic:spPr>
                </pic:pic>
              </a:graphicData>
            </a:graphic>
          </wp:inline>
        </w:drawing>
      </w:r>
    </w:p>
    <w:p w:rsidR="007364E6" w:rsidRDefault="004E32B4" w:rsidP="004E32B4">
      <w:pPr>
        <w:pStyle w:val="Header"/>
        <w:spacing w:after="120"/>
        <w:rPr>
          <w:b/>
          <w:sz w:val="22"/>
          <w:szCs w:val="22"/>
        </w:rPr>
      </w:pPr>
      <w:proofErr w:type="gramStart"/>
      <w:r w:rsidRPr="004E32B4">
        <w:rPr>
          <w:b/>
          <w:sz w:val="22"/>
          <w:szCs w:val="22"/>
        </w:rPr>
        <w:t xml:space="preserve">Figure </w:t>
      </w:r>
      <w:r w:rsidR="009D0A83">
        <w:rPr>
          <w:b/>
          <w:sz w:val="22"/>
          <w:szCs w:val="22"/>
        </w:rPr>
        <w:t>5</w:t>
      </w:r>
      <w:r w:rsidRPr="004E32B4">
        <w:rPr>
          <w:b/>
          <w:sz w:val="22"/>
          <w:szCs w:val="22"/>
        </w:rPr>
        <w:t>.</w:t>
      </w:r>
      <w:proofErr w:type="gramEnd"/>
      <w:r w:rsidRPr="004E32B4">
        <w:rPr>
          <w:b/>
          <w:sz w:val="22"/>
          <w:szCs w:val="22"/>
        </w:rPr>
        <w:t xml:space="preserve">  </w:t>
      </w:r>
      <w:r w:rsidR="00CD7B74" w:rsidRPr="004E32B4">
        <w:rPr>
          <w:b/>
          <w:sz w:val="22"/>
          <w:szCs w:val="22"/>
        </w:rPr>
        <w:t>Monthly</w:t>
      </w:r>
      <w:r>
        <w:rPr>
          <w:b/>
          <w:sz w:val="22"/>
          <w:szCs w:val="22"/>
        </w:rPr>
        <w:t xml:space="preserve"> </w:t>
      </w:r>
      <w:r w:rsidR="00CD7B74" w:rsidRPr="004E32B4">
        <w:rPr>
          <w:b/>
          <w:sz w:val="22"/>
          <w:szCs w:val="22"/>
        </w:rPr>
        <w:t xml:space="preserve">Steam </w:t>
      </w:r>
      <w:r>
        <w:rPr>
          <w:b/>
          <w:sz w:val="22"/>
          <w:szCs w:val="22"/>
        </w:rPr>
        <w:t xml:space="preserve">Production from the </w:t>
      </w:r>
      <w:r w:rsidR="00CD7B74" w:rsidRPr="004E32B4">
        <w:rPr>
          <w:b/>
          <w:sz w:val="22"/>
          <w:szCs w:val="22"/>
        </w:rPr>
        <w:t>Hillsborough County Resource</w:t>
      </w:r>
      <w:r w:rsidR="00116E0D">
        <w:rPr>
          <w:b/>
          <w:sz w:val="22"/>
          <w:szCs w:val="22"/>
        </w:rPr>
        <w:t xml:space="preserve"> Recovery F</w:t>
      </w:r>
      <w:r w:rsidR="00CD7B74" w:rsidRPr="004E32B4">
        <w:rPr>
          <w:b/>
          <w:sz w:val="22"/>
          <w:szCs w:val="22"/>
        </w:rPr>
        <w:t>acility</w:t>
      </w:r>
    </w:p>
    <w:p w:rsidR="001746FB" w:rsidRDefault="00311391" w:rsidP="004E32B4">
      <w:pPr>
        <w:pStyle w:val="Header"/>
        <w:spacing w:after="120"/>
        <w:rPr>
          <w:sz w:val="22"/>
          <w:szCs w:val="22"/>
        </w:rPr>
      </w:pPr>
      <w:r>
        <w:rPr>
          <w:sz w:val="22"/>
          <w:szCs w:val="22"/>
        </w:rPr>
        <w:t xml:space="preserve">Figure </w:t>
      </w:r>
      <w:r w:rsidR="009D0A83">
        <w:rPr>
          <w:sz w:val="22"/>
          <w:szCs w:val="22"/>
        </w:rPr>
        <w:t>5</w:t>
      </w:r>
      <w:r>
        <w:rPr>
          <w:sz w:val="22"/>
          <w:szCs w:val="22"/>
        </w:rPr>
        <w:t xml:space="preserve"> contains the month-by-month steam production data for Units 1, 2 and 3 combined and separately for </w:t>
      </w:r>
      <w:r w:rsidR="00373374">
        <w:rPr>
          <w:sz w:val="22"/>
          <w:szCs w:val="22"/>
        </w:rPr>
        <w:br/>
      </w:r>
      <w:r>
        <w:rPr>
          <w:sz w:val="22"/>
          <w:szCs w:val="22"/>
        </w:rPr>
        <w:t xml:space="preserve">Unit 4, which started up in </w:t>
      </w:r>
      <w:r w:rsidR="00CD2BD4">
        <w:rPr>
          <w:sz w:val="22"/>
          <w:szCs w:val="22"/>
        </w:rPr>
        <w:t>the second half of 2009.  The 24-month running monthly averages are also included as a more stable long term production indicators.  On a long-term basis the time smoothed steam production data from Units 1, 2 and 3, combined, averaged varied from about 181 to 192 million pounds/month</w:t>
      </w:r>
      <w:r w:rsidR="005568B9">
        <w:rPr>
          <w:sz w:val="22"/>
          <w:szCs w:val="22"/>
        </w:rPr>
        <w:t xml:space="preserve"> (lb/month)</w:t>
      </w:r>
      <w:r w:rsidR="00CD2BD4">
        <w:rPr>
          <w:sz w:val="22"/>
          <w:szCs w:val="22"/>
        </w:rPr>
        <w:t xml:space="preserve">.  Steam production for individual months ranged from </w:t>
      </w:r>
      <w:r w:rsidR="005568B9">
        <w:rPr>
          <w:sz w:val="22"/>
          <w:szCs w:val="22"/>
        </w:rPr>
        <w:t xml:space="preserve">about 133 to 215 million </w:t>
      </w:r>
      <w:r w:rsidR="00210FC5">
        <w:rPr>
          <w:sz w:val="22"/>
          <w:szCs w:val="22"/>
        </w:rPr>
        <w:t>lb</w:t>
      </w:r>
      <w:r w:rsidR="005568B9">
        <w:rPr>
          <w:sz w:val="22"/>
          <w:szCs w:val="22"/>
        </w:rPr>
        <w:t xml:space="preserve">/month.  </w:t>
      </w:r>
    </w:p>
    <w:p w:rsidR="00790D0A" w:rsidRDefault="00790D0A">
      <w:pPr>
        <w:rPr>
          <w:sz w:val="22"/>
          <w:szCs w:val="22"/>
        </w:rPr>
      </w:pPr>
      <w:r>
        <w:rPr>
          <w:sz w:val="22"/>
          <w:szCs w:val="22"/>
        </w:rPr>
        <w:br w:type="page"/>
      </w:r>
    </w:p>
    <w:p w:rsidR="00A936BF" w:rsidRDefault="005568B9" w:rsidP="004E32B4">
      <w:pPr>
        <w:pStyle w:val="Header"/>
        <w:spacing w:after="120"/>
        <w:rPr>
          <w:sz w:val="22"/>
          <w:szCs w:val="22"/>
        </w:rPr>
      </w:pPr>
      <w:r>
        <w:rPr>
          <w:sz w:val="22"/>
          <w:szCs w:val="22"/>
        </w:rPr>
        <w:lastRenderedPageBreak/>
        <w:t>For reference at the presently permitted maximum steam production rate (102,000 lb/hour/unit), the maximum permitted monthly production (during a 31 day month) is 227.7 million lb/month.</w:t>
      </w:r>
      <w:r w:rsidR="00CD2BD4">
        <w:rPr>
          <w:sz w:val="22"/>
          <w:szCs w:val="22"/>
        </w:rPr>
        <w:t xml:space="preserve"> </w:t>
      </w:r>
      <w:r>
        <w:rPr>
          <w:sz w:val="22"/>
          <w:szCs w:val="22"/>
        </w:rPr>
        <w:t xml:space="preserve"> Thus, on a long-term basis, Units 1-3 operate at approximately </w:t>
      </w:r>
      <w:r w:rsidR="00897AA4">
        <w:rPr>
          <w:sz w:val="22"/>
          <w:szCs w:val="22"/>
        </w:rPr>
        <w:t xml:space="preserve">80 to 85 percent of the permitted maximum steam production limits.  </w:t>
      </w:r>
      <w:r w:rsidR="001746FB">
        <w:rPr>
          <w:sz w:val="22"/>
          <w:szCs w:val="22"/>
        </w:rPr>
        <w:t xml:space="preserve">According to the applicant the maximum capacity rating (MCR) of Units 1-3 is 94,270 lb/hour/unit.  At that rate, the equivalent monthly steam production would be 210.4 million lb/month.  Thus, on a long-term basis Units 1-3 operate at approximately 86 to 91% of the MCR. </w:t>
      </w:r>
    </w:p>
    <w:p w:rsidR="001746FB" w:rsidRPr="00A936BF" w:rsidRDefault="001746FB" w:rsidP="004E32B4">
      <w:pPr>
        <w:pStyle w:val="Header"/>
        <w:spacing w:after="120"/>
        <w:rPr>
          <w:sz w:val="22"/>
          <w:szCs w:val="22"/>
        </w:rPr>
      </w:pPr>
      <w:r>
        <w:rPr>
          <w:sz w:val="22"/>
          <w:szCs w:val="22"/>
        </w:rPr>
        <w:t xml:space="preserve">Since startup in the second half of 2009, Unit 4 has operated </w:t>
      </w:r>
      <w:r w:rsidR="00DB127D">
        <w:rPr>
          <w:sz w:val="22"/>
          <w:szCs w:val="22"/>
        </w:rPr>
        <w:t xml:space="preserve">at a long-term rate of approximately 115 million pounds/month </w:t>
      </w:r>
      <w:r w:rsidR="002664C8">
        <w:rPr>
          <w:sz w:val="22"/>
          <w:szCs w:val="22"/>
        </w:rPr>
        <w:t xml:space="preserve">compared with 124.4 million lb/month </w:t>
      </w:r>
      <w:r w:rsidR="00020913">
        <w:rPr>
          <w:sz w:val="22"/>
          <w:szCs w:val="22"/>
        </w:rPr>
        <w:t>(</w:t>
      </w:r>
      <w:r w:rsidR="002664C8">
        <w:rPr>
          <w:sz w:val="22"/>
          <w:szCs w:val="22"/>
        </w:rPr>
        <w:t>at the MCR of 167,220 lb/hour</w:t>
      </w:r>
      <w:r w:rsidR="00020913">
        <w:rPr>
          <w:sz w:val="22"/>
          <w:szCs w:val="22"/>
        </w:rPr>
        <w:t xml:space="preserve">).  Unit 4 has on-average operated at approximately </w:t>
      </w:r>
      <w:r w:rsidR="003F1FC8">
        <w:rPr>
          <w:sz w:val="22"/>
          <w:szCs w:val="22"/>
        </w:rPr>
        <w:t xml:space="preserve">93% of </w:t>
      </w:r>
      <w:r w:rsidR="00020913">
        <w:rPr>
          <w:sz w:val="22"/>
          <w:szCs w:val="22"/>
        </w:rPr>
        <w:t xml:space="preserve">the </w:t>
      </w:r>
      <w:r w:rsidR="003F1FC8">
        <w:rPr>
          <w:sz w:val="22"/>
          <w:szCs w:val="22"/>
        </w:rPr>
        <w:t xml:space="preserve">MCR.  </w:t>
      </w:r>
      <w:r w:rsidR="00020913">
        <w:rPr>
          <w:sz w:val="22"/>
          <w:szCs w:val="22"/>
        </w:rPr>
        <w:t>When compared with 148.8 million lb/month (at the maximum permitted steam limit of 200,000 lb/hour), t</w:t>
      </w:r>
      <w:r w:rsidR="003F1FC8">
        <w:rPr>
          <w:sz w:val="22"/>
          <w:szCs w:val="22"/>
        </w:rPr>
        <w:t>he long</w:t>
      </w:r>
      <w:r w:rsidR="00020913">
        <w:rPr>
          <w:sz w:val="22"/>
          <w:szCs w:val="22"/>
        </w:rPr>
        <w:t>-</w:t>
      </w:r>
      <w:r w:rsidR="003F1FC8">
        <w:rPr>
          <w:sz w:val="22"/>
          <w:szCs w:val="22"/>
        </w:rPr>
        <w:t xml:space="preserve">term </w:t>
      </w:r>
      <w:r w:rsidR="00020913">
        <w:rPr>
          <w:sz w:val="22"/>
          <w:szCs w:val="22"/>
        </w:rPr>
        <w:t xml:space="preserve">rate of 115 million pounds/month equals approximately 77% of the </w:t>
      </w:r>
      <w:r w:rsidR="00935186">
        <w:rPr>
          <w:sz w:val="22"/>
          <w:szCs w:val="22"/>
        </w:rPr>
        <w:t>maximum permitted steam limit.</w:t>
      </w:r>
    </w:p>
    <w:p w:rsidR="00A936BF" w:rsidRPr="00A936BF" w:rsidRDefault="00756347" w:rsidP="004E32B4">
      <w:pPr>
        <w:pStyle w:val="Header"/>
        <w:spacing w:after="120"/>
        <w:rPr>
          <w:sz w:val="22"/>
          <w:szCs w:val="22"/>
        </w:rPr>
      </w:pPr>
      <w:r>
        <w:rPr>
          <w:sz w:val="22"/>
          <w:szCs w:val="22"/>
        </w:rPr>
        <w:t xml:space="preserve">Figure </w:t>
      </w:r>
      <w:r w:rsidR="009D0A83">
        <w:rPr>
          <w:sz w:val="22"/>
          <w:szCs w:val="22"/>
        </w:rPr>
        <w:t>6</w:t>
      </w:r>
      <w:r w:rsidR="00897AA4">
        <w:rPr>
          <w:sz w:val="22"/>
          <w:szCs w:val="22"/>
        </w:rPr>
        <w:t xml:space="preserve"> contains the month-by-month actual waste throughput data for the entire facility (Units 1-4).  Monthly waste fuel h</w:t>
      </w:r>
      <w:r w:rsidR="00866E60">
        <w:rPr>
          <w:sz w:val="22"/>
          <w:szCs w:val="22"/>
        </w:rPr>
        <w:t>eating values are also shown in</w:t>
      </w:r>
      <w:r w:rsidR="00897AA4">
        <w:rPr>
          <w:sz w:val="22"/>
          <w:szCs w:val="22"/>
        </w:rPr>
        <w:t xml:space="preserve">dicating a range </w:t>
      </w:r>
      <w:proofErr w:type="gramStart"/>
      <w:r w:rsidR="00897AA4">
        <w:rPr>
          <w:sz w:val="22"/>
          <w:szCs w:val="22"/>
        </w:rPr>
        <w:t>of roughly 4,700 to 5,600 Btu/lb</w:t>
      </w:r>
      <w:proofErr w:type="gramEnd"/>
      <w:r w:rsidR="00897AA4">
        <w:rPr>
          <w:sz w:val="22"/>
          <w:szCs w:val="22"/>
        </w:rPr>
        <w:t xml:space="preserve">.  The 24-month running monthly average waste throughput data are also included and </w:t>
      </w:r>
      <w:r w:rsidR="00210FC5">
        <w:rPr>
          <w:sz w:val="22"/>
          <w:szCs w:val="22"/>
        </w:rPr>
        <w:t>are corrected so they represent waste at a referenced heating value of 4,500 Btu/lb.</w:t>
      </w:r>
    </w:p>
    <w:p w:rsidR="007364E6" w:rsidRPr="00A60189" w:rsidRDefault="00CB6032" w:rsidP="00467307">
      <w:pPr>
        <w:autoSpaceDE w:val="0"/>
        <w:autoSpaceDN w:val="0"/>
        <w:adjustRightInd w:val="0"/>
        <w:spacing w:after="120"/>
        <w:rPr>
          <w:sz w:val="22"/>
          <w:szCs w:val="22"/>
        </w:rPr>
      </w:pPr>
      <w:r w:rsidRPr="00CB6032">
        <w:rPr>
          <w:noProof/>
          <w:szCs w:val="22"/>
        </w:rPr>
        <w:pict>
          <v:shape id="_x0000_s1065" type="#_x0000_t32" style="position:absolute;margin-left:51.55pt;margin-top:180.25pt;width:39.9pt;height:.05pt;flip:x;z-index:251691520" o:connectortype="straight" strokecolor="#00b0f0" strokeweight="2.25pt">
            <v:stroke endarrow="block"/>
          </v:shape>
        </w:pict>
      </w:r>
      <w:r w:rsidRPr="00CB6032">
        <w:rPr>
          <w:noProof/>
          <w:szCs w:val="22"/>
        </w:rPr>
        <w:pict>
          <v:shape id="_x0000_s1064" type="#_x0000_t32" style="position:absolute;margin-left:51.55pt;margin-top:96.15pt;width:39.9pt;height:.05pt;flip:x;z-index:251690496" o:connectortype="straight" strokecolor="#ffc000" strokeweight="2.25pt">
            <v:stroke endarrow="block"/>
          </v:shape>
        </w:pict>
      </w:r>
      <w:r w:rsidRPr="00CB6032">
        <w:rPr>
          <w:noProof/>
          <w:szCs w:val="22"/>
        </w:rPr>
        <w:pict>
          <v:shape id="_x0000_s1059" type="#_x0000_t32" style="position:absolute;margin-left:412.1pt;margin-top:16.6pt;width:42.1pt;height:0;z-index:251687424" o:connectortype="straight" strokecolor="#e36c0a [2409]" strokeweight="2.25pt">
            <v:stroke endarrow="block"/>
          </v:shape>
        </w:pict>
      </w:r>
      <w:r>
        <w:rPr>
          <w:noProof/>
          <w:sz w:val="22"/>
          <w:szCs w:val="22"/>
          <w:lang w:eastAsia="zh-TW"/>
        </w:rPr>
        <w:pict>
          <v:shape id="_x0000_s1062" type="#_x0000_t202" style="position:absolute;margin-left:268.05pt;margin-top:7.7pt;width:146.85pt;height:18.7pt;z-index:251689472;mso-height-percent:200;mso-height-percent:200;mso-width-relative:margin;mso-height-relative:margin" filled="f" stroked="f">
            <v:textbox style="mso-next-textbox:#_x0000_s1062;mso-fit-shape-to-text:t">
              <w:txbxContent>
                <w:p w:rsidR="00373374" w:rsidRPr="00A936BF" w:rsidRDefault="00373374">
                  <w:pPr>
                    <w:rPr>
                      <w:rFonts w:ascii="Arial" w:hAnsi="Arial"/>
                      <w:b/>
                      <w:color w:val="E36C0A" w:themeColor="accent6" w:themeShade="BF"/>
                    </w:rPr>
                  </w:pPr>
                  <w:r w:rsidRPr="00A936BF">
                    <w:rPr>
                      <w:rFonts w:ascii="Arial" w:hAnsi="Arial"/>
                      <w:b/>
                      <w:color w:val="E36C0A" w:themeColor="accent6" w:themeShade="BF"/>
                    </w:rPr>
                    <w:t>Heating Value (Btu/pound)</w:t>
                  </w:r>
                </w:p>
              </w:txbxContent>
            </v:textbox>
          </v:shape>
        </w:pict>
      </w:r>
      <w:r w:rsidR="00A60189" w:rsidRPr="00A60189">
        <w:rPr>
          <w:noProof/>
          <w:szCs w:val="22"/>
          <w:bdr w:val="single" w:sz="8" w:space="0" w:color="auto"/>
        </w:rPr>
        <w:drawing>
          <wp:inline distT="0" distB="0" distL="0" distR="0">
            <wp:extent cx="6345537" cy="3716786"/>
            <wp:effectExtent l="1905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srcRect l="410" t="515" r="429" b="14838"/>
                    <a:stretch>
                      <a:fillRect/>
                    </a:stretch>
                  </pic:blipFill>
                  <pic:spPr bwMode="auto">
                    <a:xfrm>
                      <a:off x="0" y="0"/>
                      <a:ext cx="6345537" cy="3716786"/>
                    </a:xfrm>
                    <a:prstGeom prst="rect">
                      <a:avLst/>
                    </a:prstGeom>
                    <a:noFill/>
                    <a:ln w="9525">
                      <a:noFill/>
                      <a:miter lim="800000"/>
                      <a:headEnd/>
                      <a:tailEnd/>
                    </a:ln>
                  </pic:spPr>
                </pic:pic>
              </a:graphicData>
            </a:graphic>
          </wp:inline>
        </w:drawing>
      </w:r>
    </w:p>
    <w:p w:rsidR="00A60189" w:rsidRPr="004E32B4" w:rsidRDefault="00A60189" w:rsidP="00A60189">
      <w:pPr>
        <w:pStyle w:val="Header"/>
        <w:spacing w:after="120"/>
        <w:rPr>
          <w:b/>
          <w:sz w:val="22"/>
          <w:szCs w:val="22"/>
        </w:rPr>
      </w:pPr>
      <w:proofErr w:type="gramStart"/>
      <w:r w:rsidRPr="004E32B4">
        <w:rPr>
          <w:b/>
          <w:sz w:val="22"/>
          <w:szCs w:val="22"/>
        </w:rPr>
        <w:t>Figure</w:t>
      </w:r>
      <w:r w:rsidR="009D0A83">
        <w:rPr>
          <w:b/>
          <w:sz w:val="22"/>
          <w:szCs w:val="22"/>
        </w:rPr>
        <w:t xml:space="preserve"> 6</w:t>
      </w:r>
      <w:r w:rsidRPr="004E32B4">
        <w:rPr>
          <w:b/>
          <w:sz w:val="22"/>
          <w:szCs w:val="22"/>
        </w:rPr>
        <w:t>.</w:t>
      </w:r>
      <w:proofErr w:type="gramEnd"/>
      <w:r w:rsidRPr="004E32B4">
        <w:rPr>
          <w:b/>
          <w:sz w:val="22"/>
          <w:szCs w:val="22"/>
        </w:rPr>
        <w:t xml:space="preserve">  Monthly</w:t>
      </w:r>
      <w:r>
        <w:rPr>
          <w:b/>
          <w:sz w:val="22"/>
          <w:szCs w:val="22"/>
        </w:rPr>
        <w:t xml:space="preserve"> Waste Fuel Heat Content and Waste Throughput from the </w:t>
      </w:r>
      <w:r w:rsidRPr="004E32B4">
        <w:rPr>
          <w:b/>
          <w:sz w:val="22"/>
          <w:szCs w:val="22"/>
        </w:rPr>
        <w:t>Hillsborough County R</w:t>
      </w:r>
      <w:r>
        <w:rPr>
          <w:b/>
          <w:sz w:val="22"/>
          <w:szCs w:val="22"/>
        </w:rPr>
        <w:t>RF</w:t>
      </w:r>
    </w:p>
    <w:p w:rsidR="007364E6" w:rsidRDefault="00210FC5" w:rsidP="00467307">
      <w:pPr>
        <w:autoSpaceDE w:val="0"/>
        <w:autoSpaceDN w:val="0"/>
        <w:adjustRightInd w:val="0"/>
        <w:spacing w:after="120"/>
        <w:rPr>
          <w:sz w:val="22"/>
          <w:szCs w:val="22"/>
        </w:rPr>
      </w:pPr>
      <w:r>
        <w:rPr>
          <w:sz w:val="22"/>
          <w:szCs w:val="22"/>
        </w:rPr>
        <w:t>Generally the actual heating value is greater than the referenced value.  Therefore the time-smoothed and corrected waste throughput tends to be greater than the actual waste throughput.</w:t>
      </w:r>
      <w:r w:rsidR="001746FB">
        <w:rPr>
          <w:sz w:val="22"/>
          <w:szCs w:val="22"/>
        </w:rPr>
        <w:t xml:space="preserve">  The permitted long-term waste throu</w:t>
      </w:r>
      <w:r w:rsidR="00EE3035">
        <w:rPr>
          <w:sz w:val="22"/>
          <w:szCs w:val="22"/>
        </w:rPr>
        <w:t>gh</w:t>
      </w:r>
      <w:r w:rsidR="001746FB">
        <w:rPr>
          <w:sz w:val="22"/>
          <w:szCs w:val="22"/>
        </w:rPr>
        <w:t>put limit is 1,200 tons/day for Units 1-3 or equal to 37,200 tons/month.  Both the actual monthly waste throughput and the monthly time-smoothed waste throughput are less than this value (until Unit 4 commenced operation</w:t>
      </w:r>
      <w:r w:rsidR="00020913">
        <w:rPr>
          <w:sz w:val="22"/>
          <w:szCs w:val="22"/>
        </w:rPr>
        <w:t>)</w:t>
      </w:r>
      <w:r w:rsidR="001746FB">
        <w:rPr>
          <w:sz w:val="22"/>
          <w:szCs w:val="22"/>
        </w:rPr>
        <w:t>.  There is no waste throughput limitation on Unit 4, which is limited by maximum steam production</w:t>
      </w:r>
      <w:r w:rsidR="00FC2B36">
        <w:rPr>
          <w:sz w:val="22"/>
          <w:szCs w:val="22"/>
        </w:rPr>
        <w:t>.</w:t>
      </w:r>
    </w:p>
    <w:p w:rsidR="00B978F6" w:rsidRPr="00A60189" w:rsidRDefault="00935186" w:rsidP="00B978F6">
      <w:pPr>
        <w:autoSpaceDE w:val="0"/>
        <w:autoSpaceDN w:val="0"/>
        <w:adjustRightInd w:val="0"/>
        <w:spacing w:after="120"/>
        <w:rPr>
          <w:sz w:val="22"/>
          <w:szCs w:val="22"/>
        </w:rPr>
      </w:pPr>
      <w:r>
        <w:rPr>
          <w:sz w:val="22"/>
          <w:szCs w:val="22"/>
        </w:rPr>
        <w:t>The foregoing suggests that the present steam limitations on Units 1-3 are sufficient to limit production from Units 1-3 without the need to maintain the essentially redundant waste throu</w:t>
      </w:r>
      <w:r w:rsidR="00B978F6">
        <w:rPr>
          <w:sz w:val="22"/>
          <w:szCs w:val="22"/>
        </w:rPr>
        <w:t>gh</w:t>
      </w:r>
      <w:r>
        <w:rPr>
          <w:sz w:val="22"/>
          <w:szCs w:val="22"/>
        </w:rPr>
        <w:t xml:space="preserve">put </w:t>
      </w:r>
      <w:r w:rsidR="00B978F6">
        <w:rPr>
          <w:sz w:val="22"/>
          <w:szCs w:val="22"/>
        </w:rPr>
        <w:t xml:space="preserve">limits </w:t>
      </w:r>
      <w:r>
        <w:rPr>
          <w:sz w:val="22"/>
          <w:szCs w:val="22"/>
        </w:rPr>
        <w:t xml:space="preserve">of 1,380 tons/day and 1,200 tons/day </w:t>
      </w:r>
      <w:r w:rsidR="00B978F6">
        <w:rPr>
          <w:sz w:val="22"/>
          <w:szCs w:val="22"/>
        </w:rPr>
        <w:t>(</w:t>
      </w:r>
      <w:r>
        <w:rPr>
          <w:sz w:val="22"/>
          <w:szCs w:val="22"/>
        </w:rPr>
        <w:t>annually averaged</w:t>
      </w:r>
      <w:r w:rsidR="00B978F6">
        <w:rPr>
          <w:sz w:val="22"/>
          <w:szCs w:val="22"/>
        </w:rPr>
        <w:t>)</w:t>
      </w:r>
      <w:r>
        <w:rPr>
          <w:sz w:val="22"/>
          <w:szCs w:val="22"/>
        </w:rPr>
        <w:t>.</w:t>
      </w:r>
      <w:r w:rsidR="00B978F6">
        <w:rPr>
          <w:sz w:val="22"/>
          <w:szCs w:val="22"/>
        </w:rPr>
        <w:t xml:space="preserve">  </w:t>
      </w:r>
    </w:p>
    <w:p w:rsidR="00790D0A" w:rsidRDefault="00790D0A">
      <w:pPr>
        <w:rPr>
          <w:sz w:val="22"/>
          <w:szCs w:val="22"/>
        </w:rPr>
      </w:pPr>
      <w:r>
        <w:rPr>
          <w:sz w:val="22"/>
          <w:szCs w:val="22"/>
        </w:rPr>
        <w:br w:type="page"/>
      </w:r>
    </w:p>
    <w:p w:rsidR="007364E6" w:rsidRPr="00A60189" w:rsidRDefault="00B978F6" w:rsidP="00467307">
      <w:pPr>
        <w:autoSpaceDE w:val="0"/>
        <w:autoSpaceDN w:val="0"/>
        <w:adjustRightInd w:val="0"/>
        <w:spacing w:after="120"/>
        <w:rPr>
          <w:sz w:val="22"/>
          <w:szCs w:val="22"/>
        </w:rPr>
      </w:pPr>
      <w:r>
        <w:rPr>
          <w:sz w:val="22"/>
          <w:szCs w:val="22"/>
        </w:rPr>
        <w:lastRenderedPageBreak/>
        <w:t>For the purposes of estimating baseline actual emissions</w:t>
      </w:r>
      <w:r w:rsidR="00E94ECC">
        <w:rPr>
          <w:sz w:val="22"/>
          <w:szCs w:val="22"/>
        </w:rPr>
        <w:t xml:space="preserve"> from Units 1-3</w:t>
      </w:r>
      <w:r>
        <w:rPr>
          <w:sz w:val="22"/>
          <w:szCs w:val="22"/>
        </w:rPr>
        <w:t>, the highest 24-month</w:t>
      </w:r>
      <w:r w:rsidR="000151D0">
        <w:rPr>
          <w:sz w:val="22"/>
          <w:szCs w:val="22"/>
        </w:rPr>
        <w:t xml:space="preserve"> steam production rate from Unit 3 occurred during the period March 2005-February 2007, inclusive.  During that time the time-smoothed steam production rate </w:t>
      </w:r>
      <w:r w:rsidR="00E94ECC">
        <w:rPr>
          <w:sz w:val="22"/>
          <w:szCs w:val="22"/>
        </w:rPr>
        <w:t xml:space="preserve">from units 1-3 combined </w:t>
      </w:r>
      <w:r w:rsidR="006B3B77">
        <w:rPr>
          <w:sz w:val="22"/>
          <w:szCs w:val="22"/>
        </w:rPr>
        <w:t>was approximately 192.1 million</w:t>
      </w:r>
      <w:r w:rsidR="000151D0">
        <w:rPr>
          <w:sz w:val="22"/>
          <w:szCs w:val="22"/>
        </w:rPr>
        <w:t xml:space="preserve"> lb/</w:t>
      </w:r>
      <w:r w:rsidR="006B3B77">
        <w:rPr>
          <w:sz w:val="22"/>
          <w:szCs w:val="22"/>
        </w:rPr>
        <w:t>month (2.31 billion lb/year) steam</w:t>
      </w:r>
      <w:r w:rsidR="000151D0">
        <w:rPr>
          <w:sz w:val="22"/>
          <w:szCs w:val="22"/>
        </w:rPr>
        <w:t xml:space="preserve">.  The waste throughput rate (referenced to 4,500 Btu/lb) was </w:t>
      </w:r>
      <w:r w:rsidR="000151D0" w:rsidRPr="000151D0">
        <w:rPr>
          <w:sz w:val="22"/>
          <w:szCs w:val="22"/>
        </w:rPr>
        <w:t>847,884</w:t>
      </w:r>
      <w:r w:rsidR="000151D0">
        <w:rPr>
          <w:sz w:val="22"/>
          <w:szCs w:val="22"/>
        </w:rPr>
        <w:t xml:space="preserve"> tons during the referenced 24-month period (or equivalent to 423,942 tons/year).  </w:t>
      </w:r>
    </w:p>
    <w:p w:rsidR="00E94ECC" w:rsidRPr="00A60189" w:rsidRDefault="00E94ECC" w:rsidP="00BA53F8">
      <w:pPr>
        <w:autoSpaceDE w:val="0"/>
        <w:autoSpaceDN w:val="0"/>
        <w:adjustRightInd w:val="0"/>
        <w:spacing w:after="120"/>
        <w:rPr>
          <w:sz w:val="22"/>
          <w:szCs w:val="22"/>
        </w:rPr>
      </w:pPr>
      <w:r>
        <w:rPr>
          <w:sz w:val="22"/>
          <w:szCs w:val="22"/>
        </w:rPr>
        <w:t xml:space="preserve">For the purposes of estimating baseline actual emissions from Unit 4, the highest 24-month steam production rate from Unit 4 occurred during the period July 2010-June 2012, inclusive.  During that time the time-smoothed steam production rate was approximately 115,201 </w:t>
      </w:r>
      <w:r w:rsidR="006B3B77">
        <w:rPr>
          <w:sz w:val="22"/>
          <w:szCs w:val="22"/>
        </w:rPr>
        <w:t xml:space="preserve">million </w:t>
      </w:r>
      <w:r>
        <w:rPr>
          <w:sz w:val="22"/>
          <w:szCs w:val="22"/>
        </w:rPr>
        <w:t>lb/</w:t>
      </w:r>
      <w:r w:rsidR="006B3B77">
        <w:rPr>
          <w:sz w:val="22"/>
          <w:szCs w:val="22"/>
        </w:rPr>
        <w:t>month (1</w:t>
      </w:r>
      <w:r>
        <w:rPr>
          <w:sz w:val="22"/>
          <w:szCs w:val="22"/>
        </w:rPr>
        <w:t>.</w:t>
      </w:r>
      <w:r w:rsidR="006B3B77">
        <w:rPr>
          <w:sz w:val="22"/>
          <w:szCs w:val="22"/>
        </w:rPr>
        <w:t xml:space="preserve">38 billion lb/year).  The total of the two maxima (steam production from Units 1-3 and Unit 4) is 3.69 billion lb/year.  When </w:t>
      </w:r>
      <w:r w:rsidR="00BA702D">
        <w:rPr>
          <w:sz w:val="22"/>
          <w:szCs w:val="22"/>
        </w:rPr>
        <w:t xml:space="preserve">considered </w:t>
      </w:r>
      <w:r w:rsidR="006B3B77">
        <w:rPr>
          <w:sz w:val="22"/>
          <w:szCs w:val="22"/>
        </w:rPr>
        <w:t xml:space="preserve">together, the highest 24-month maximum steam production </w:t>
      </w:r>
      <w:r w:rsidR="00BA702D">
        <w:rPr>
          <w:sz w:val="22"/>
          <w:szCs w:val="22"/>
        </w:rPr>
        <w:t>from Units 1-4 occurred during the period September 2010-August 2012.  The annualized steam production rate was 3.66 billion lb/year.  It makes no practical difference whether the maximum production periods from Units 1-3 and Unit 4 are considered separately or concurrently when determining the maximum historical operating rates.</w:t>
      </w:r>
    </w:p>
    <w:p w:rsidR="00BA702D" w:rsidRDefault="00E224FF" w:rsidP="00BA53F8">
      <w:pPr>
        <w:widowControl w:val="0"/>
        <w:spacing w:after="120"/>
        <w:rPr>
          <w:b/>
          <w:i/>
          <w:sz w:val="22"/>
          <w:szCs w:val="22"/>
        </w:rPr>
      </w:pPr>
      <w:r>
        <w:rPr>
          <w:b/>
          <w:i/>
          <w:sz w:val="22"/>
          <w:szCs w:val="22"/>
        </w:rPr>
        <w:t>Baseline Actual Emissions</w:t>
      </w:r>
    </w:p>
    <w:p w:rsidR="00FC2B36" w:rsidRPr="00FC2B36" w:rsidRDefault="0042318A" w:rsidP="00BA53F8">
      <w:pPr>
        <w:widowControl w:val="0"/>
        <w:spacing w:after="120"/>
        <w:rPr>
          <w:sz w:val="22"/>
          <w:szCs w:val="22"/>
        </w:rPr>
      </w:pPr>
      <w:r>
        <w:rPr>
          <w:sz w:val="22"/>
          <w:szCs w:val="22"/>
        </w:rPr>
        <w:t>Table 5 is a summary of annual emissions as reported by the application via annual operating reports (AOR) as required by Department rules and permit conditions.  Consistent with the definition of “baseline actual emissions” the Department identified the two consecutive years (within the past ten years) during which Units 1-3 and Unit 4 exhibited the highest emission rate of each PSD pollutant in tons/year.  Selection of 24-month periods rather than two years would not result in meaningfully different estimates.</w:t>
      </w:r>
    </w:p>
    <w:p w:rsidR="00FC2B36" w:rsidRPr="00FC2B36" w:rsidRDefault="00FC2B36" w:rsidP="00FC2B36">
      <w:pPr>
        <w:pStyle w:val="BodyText"/>
        <w:spacing w:after="60"/>
        <w:rPr>
          <w:sz w:val="22"/>
          <w:szCs w:val="22"/>
        </w:rPr>
      </w:pPr>
      <w:proofErr w:type="gramStart"/>
      <w:r w:rsidRPr="00475C43">
        <w:rPr>
          <w:b/>
          <w:color w:val="000000"/>
          <w:sz w:val="22"/>
          <w:szCs w:val="22"/>
        </w:rPr>
        <w:t xml:space="preserve">Table </w:t>
      </w:r>
      <w:r>
        <w:rPr>
          <w:b/>
          <w:color w:val="000000"/>
          <w:sz w:val="22"/>
          <w:szCs w:val="22"/>
        </w:rPr>
        <w:t>5.</w:t>
      </w:r>
      <w:proofErr w:type="gramEnd"/>
      <w:r>
        <w:rPr>
          <w:b/>
          <w:color w:val="000000"/>
          <w:sz w:val="22"/>
          <w:szCs w:val="22"/>
        </w:rPr>
        <w:t xml:space="preserve">  </w:t>
      </w:r>
      <w:r w:rsidR="00775A58">
        <w:rPr>
          <w:b/>
          <w:color w:val="000000"/>
          <w:sz w:val="22"/>
          <w:szCs w:val="22"/>
        </w:rPr>
        <w:t xml:space="preserve">Annual and Calculated </w:t>
      </w:r>
      <w:r>
        <w:rPr>
          <w:b/>
          <w:color w:val="000000"/>
          <w:sz w:val="22"/>
          <w:szCs w:val="22"/>
        </w:rPr>
        <w:t>Baseline Actual Emissions</w:t>
      </w:r>
      <w:r w:rsidR="00775A58">
        <w:rPr>
          <w:b/>
          <w:color w:val="000000"/>
          <w:sz w:val="22"/>
          <w:szCs w:val="22"/>
        </w:rPr>
        <w:t xml:space="preserve"> for Hillsborough County RRF (tons/year)</w:t>
      </w:r>
    </w:p>
    <w:tbl>
      <w:tblPr>
        <w:tblW w:w="9822" w:type="dxa"/>
        <w:tblInd w:w="96" w:type="dxa"/>
        <w:tblLook w:val="04A0"/>
      </w:tblPr>
      <w:tblGrid>
        <w:gridCol w:w="1362"/>
        <w:gridCol w:w="1260"/>
        <w:gridCol w:w="1170"/>
        <w:gridCol w:w="1350"/>
        <w:gridCol w:w="1170"/>
        <w:gridCol w:w="1170"/>
        <w:gridCol w:w="1170"/>
        <w:gridCol w:w="1170"/>
      </w:tblGrid>
      <w:tr w:rsidR="00724BCF" w:rsidRPr="00724BCF" w:rsidTr="00790D0A">
        <w:trPr>
          <w:trHeight w:val="359"/>
        </w:trPr>
        <w:tc>
          <w:tcPr>
            <w:tcW w:w="13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24BCF" w:rsidRPr="00724BCF" w:rsidRDefault="00724BCF" w:rsidP="00790D0A">
            <w:pPr>
              <w:spacing w:before="40" w:after="40"/>
              <w:jc w:val="center"/>
              <w:rPr>
                <w:b/>
                <w:color w:val="000000"/>
                <w:sz w:val="22"/>
                <w:szCs w:val="22"/>
                <w:u w:val="single"/>
              </w:rPr>
            </w:pPr>
            <w:r w:rsidRPr="00724BCF">
              <w:rPr>
                <w:b/>
                <w:color w:val="000000"/>
                <w:sz w:val="22"/>
                <w:szCs w:val="22"/>
                <w:u w:val="single"/>
              </w:rPr>
              <w:t>Units 1-3 </w:t>
            </w:r>
          </w:p>
        </w:tc>
        <w:tc>
          <w:tcPr>
            <w:tcW w:w="1260" w:type="dxa"/>
            <w:tcBorders>
              <w:top w:val="single" w:sz="4" w:space="0" w:color="auto"/>
              <w:left w:val="nil"/>
              <w:bottom w:val="single" w:sz="4" w:space="0" w:color="auto"/>
              <w:right w:val="single" w:sz="4" w:space="0" w:color="auto"/>
            </w:tcBorders>
            <w:shd w:val="clear" w:color="auto" w:fill="auto"/>
            <w:noWrap/>
            <w:vAlign w:val="center"/>
            <w:hideMark/>
          </w:tcPr>
          <w:p w:rsidR="00724BCF" w:rsidRPr="00724BCF" w:rsidRDefault="00724BCF" w:rsidP="00790D0A">
            <w:pPr>
              <w:spacing w:before="40" w:after="40"/>
              <w:jc w:val="center"/>
              <w:rPr>
                <w:b/>
                <w:color w:val="000000"/>
                <w:sz w:val="22"/>
                <w:szCs w:val="22"/>
                <w:u w:val="single"/>
              </w:rPr>
            </w:pPr>
            <w:r w:rsidRPr="00724BCF">
              <w:rPr>
                <w:b/>
                <w:color w:val="000000"/>
                <w:sz w:val="22"/>
                <w:szCs w:val="22"/>
                <w:u w:val="single"/>
              </w:rPr>
              <w:t>CO</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rsidR="00724BCF" w:rsidRPr="00724BCF" w:rsidRDefault="00724BCF" w:rsidP="00790D0A">
            <w:pPr>
              <w:spacing w:before="40" w:after="40"/>
              <w:jc w:val="center"/>
              <w:rPr>
                <w:b/>
                <w:color w:val="000000"/>
                <w:sz w:val="22"/>
                <w:szCs w:val="22"/>
                <w:u w:val="single"/>
              </w:rPr>
            </w:pPr>
            <w:r w:rsidRPr="00724BCF">
              <w:rPr>
                <w:b/>
                <w:color w:val="000000"/>
                <w:sz w:val="22"/>
                <w:szCs w:val="22"/>
                <w:u w:val="single"/>
              </w:rPr>
              <w:t>NO</w:t>
            </w:r>
            <w:r w:rsidRPr="00724BCF">
              <w:rPr>
                <w:b/>
                <w:color w:val="000000"/>
                <w:sz w:val="22"/>
                <w:szCs w:val="22"/>
                <w:u w:val="single"/>
                <w:vertAlign w:val="subscript"/>
              </w:rPr>
              <w:t>X</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rsidR="00724BCF" w:rsidRPr="00724BCF" w:rsidRDefault="00724BCF" w:rsidP="00790D0A">
            <w:pPr>
              <w:spacing w:before="40" w:after="40"/>
              <w:jc w:val="center"/>
              <w:rPr>
                <w:b/>
                <w:color w:val="000000"/>
                <w:sz w:val="22"/>
                <w:szCs w:val="22"/>
                <w:u w:val="single"/>
              </w:rPr>
            </w:pPr>
            <w:r w:rsidRPr="00724BCF">
              <w:rPr>
                <w:b/>
                <w:color w:val="000000"/>
                <w:sz w:val="22"/>
                <w:szCs w:val="22"/>
                <w:u w:val="single"/>
              </w:rPr>
              <w:t>PM/PM</w:t>
            </w:r>
            <w:r w:rsidRPr="00724BCF">
              <w:rPr>
                <w:b/>
                <w:color w:val="000000"/>
                <w:sz w:val="22"/>
                <w:szCs w:val="22"/>
                <w:u w:val="single"/>
                <w:vertAlign w:val="subscript"/>
              </w:rPr>
              <w:t>10</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rsidR="00724BCF" w:rsidRPr="00724BCF" w:rsidRDefault="00724BCF" w:rsidP="00790D0A">
            <w:pPr>
              <w:spacing w:before="40" w:after="40"/>
              <w:jc w:val="center"/>
              <w:rPr>
                <w:b/>
                <w:color w:val="000000"/>
                <w:sz w:val="22"/>
                <w:szCs w:val="22"/>
                <w:u w:val="single"/>
              </w:rPr>
            </w:pPr>
            <w:r w:rsidRPr="00724BCF">
              <w:rPr>
                <w:b/>
                <w:color w:val="000000"/>
                <w:sz w:val="22"/>
                <w:szCs w:val="22"/>
                <w:u w:val="single"/>
              </w:rPr>
              <w:t>SO</w:t>
            </w:r>
            <w:r w:rsidRPr="00FC2B36">
              <w:rPr>
                <w:b/>
                <w:color w:val="000000"/>
                <w:sz w:val="22"/>
                <w:szCs w:val="22"/>
                <w:u w:val="single"/>
                <w:vertAlign w:val="subscript"/>
              </w:rPr>
              <w:t>2</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rsidR="00724BCF" w:rsidRPr="00724BCF" w:rsidRDefault="00724BCF" w:rsidP="00790D0A">
            <w:pPr>
              <w:spacing w:before="40" w:after="40"/>
              <w:jc w:val="center"/>
              <w:rPr>
                <w:b/>
                <w:color w:val="000000"/>
                <w:sz w:val="22"/>
                <w:szCs w:val="22"/>
                <w:u w:val="single"/>
              </w:rPr>
            </w:pPr>
            <w:r w:rsidRPr="00724BCF">
              <w:rPr>
                <w:b/>
                <w:color w:val="000000"/>
                <w:sz w:val="22"/>
                <w:szCs w:val="22"/>
                <w:u w:val="single"/>
              </w:rPr>
              <w:t>HCl</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rsidR="00724BCF" w:rsidRPr="00724BCF" w:rsidRDefault="00724BCF" w:rsidP="00790D0A">
            <w:pPr>
              <w:spacing w:before="40" w:after="40"/>
              <w:jc w:val="center"/>
              <w:rPr>
                <w:b/>
                <w:color w:val="000000"/>
                <w:sz w:val="22"/>
                <w:szCs w:val="22"/>
                <w:u w:val="single"/>
              </w:rPr>
            </w:pPr>
            <w:r w:rsidRPr="00724BCF">
              <w:rPr>
                <w:b/>
                <w:color w:val="000000"/>
                <w:sz w:val="22"/>
                <w:szCs w:val="22"/>
                <w:u w:val="single"/>
              </w:rPr>
              <w:t>Pb</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rsidR="00724BCF" w:rsidRPr="00724BCF" w:rsidRDefault="00724BCF" w:rsidP="00790D0A">
            <w:pPr>
              <w:spacing w:before="40" w:after="40"/>
              <w:jc w:val="center"/>
              <w:rPr>
                <w:b/>
                <w:color w:val="000000"/>
                <w:sz w:val="22"/>
                <w:szCs w:val="22"/>
                <w:u w:val="single"/>
              </w:rPr>
            </w:pPr>
            <w:r w:rsidRPr="00724BCF">
              <w:rPr>
                <w:b/>
                <w:color w:val="000000"/>
                <w:sz w:val="22"/>
                <w:szCs w:val="22"/>
                <w:u w:val="single"/>
              </w:rPr>
              <w:t>Hg</w:t>
            </w:r>
          </w:p>
        </w:tc>
      </w:tr>
      <w:tr w:rsidR="00724BCF" w:rsidRPr="00724BCF" w:rsidTr="00790D0A">
        <w:trPr>
          <w:trHeight w:val="300"/>
        </w:trPr>
        <w:tc>
          <w:tcPr>
            <w:tcW w:w="1362" w:type="dxa"/>
            <w:tcBorders>
              <w:top w:val="nil"/>
              <w:left w:val="single" w:sz="4" w:space="0" w:color="auto"/>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2002</w:t>
            </w:r>
          </w:p>
        </w:tc>
        <w:tc>
          <w:tcPr>
            <w:tcW w:w="1260" w:type="dxa"/>
            <w:tcBorders>
              <w:top w:val="nil"/>
              <w:left w:val="nil"/>
              <w:bottom w:val="single" w:sz="4" w:space="0" w:color="auto"/>
              <w:right w:val="single" w:sz="4" w:space="0" w:color="auto"/>
            </w:tcBorders>
            <w:shd w:val="clear" w:color="000000" w:fill="FFFFFF"/>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28.0</w:t>
            </w:r>
          </w:p>
        </w:tc>
        <w:tc>
          <w:tcPr>
            <w:tcW w:w="1170" w:type="dxa"/>
            <w:tcBorders>
              <w:top w:val="nil"/>
              <w:left w:val="nil"/>
              <w:bottom w:val="single" w:sz="4" w:space="0" w:color="auto"/>
              <w:right w:val="single" w:sz="4" w:space="0" w:color="auto"/>
            </w:tcBorders>
            <w:shd w:val="clear" w:color="000000" w:fill="FFFFFF"/>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586.7</w:t>
            </w:r>
          </w:p>
        </w:tc>
        <w:tc>
          <w:tcPr>
            <w:tcW w:w="1350" w:type="dxa"/>
            <w:tcBorders>
              <w:top w:val="nil"/>
              <w:left w:val="nil"/>
              <w:bottom w:val="single" w:sz="4" w:space="0" w:color="auto"/>
              <w:right w:val="single" w:sz="4" w:space="0" w:color="auto"/>
            </w:tcBorders>
            <w:shd w:val="clear" w:color="000000" w:fill="FFFFFF"/>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2.20</w:t>
            </w:r>
          </w:p>
        </w:tc>
        <w:tc>
          <w:tcPr>
            <w:tcW w:w="1170" w:type="dxa"/>
            <w:tcBorders>
              <w:top w:val="nil"/>
              <w:left w:val="nil"/>
              <w:bottom w:val="single" w:sz="4" w:space="0" w:color="auto"/>
              <w:right w:val="single" w:sz="4" w:space="0" w:color="auto"/>
            </w:tcBorders>
            <w:shd w:val="clear" w:color="000000" w:fill="FFFFFF"/>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0.0</w:t>
            </w:r>
          </w:p>
        </w:tc>
        <w:tc>
          <w:tcPr>
            <w:tcW w:w="1170" w:type="dxa"/>
            <w:tcBorders>
              <w:top w:val="nil"/>
              <w:left w:val="nil"/>
              <w:bottom w:val="single" w:sz="4" w:space="0" w:color="auto"/>
              <w:right w:val="single" w:sz="4" w:space="0" w:color="auto"/>
            </w:tcBorders>
            <w:shd w:val="clear" w:color="000000" w:fill="FFFFFF"/>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32.6</w:t>
            </w:r>
          </w:p>
        </w:tc>
        <w:tc>
          <w:tcPr>
            <w:tcW w:w="1170" w:type="dxa"/>
            <w:tcBorders>
              <w:top w:val="nil"/>
              <w:left w:val="nil"/>
              <w:bottom w:val="single" w:sz="4" w:space="0" w:color="auto"/>
              <w:right w:val="single" w:sz="4" w:space="0" w:color="auto"/>
            </w:tcBorders>
            <w:shd w:val="clear" w:color="auto" w:fill="auto"/>
            <w:noWrap/>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0.011</w:t>
            </w:r>
          </w:p>
        </w:tc>
        <w:tc>
          <w:tcPr>
            <w:tcW w:w="1170" w:type="dxa"/>
            <w:tcBorders>
              <w:top w:val="nil"/>
              <w:left w:val="nil"/>
              <w:bottom w:val="single" w:sz="4" w:space="0" w:color="auto"/>
              <w:right w:val="single" w:sz="4" w:space="0" w:color="auto"/>
            </w:tcBorders>
            <w:shd w:val="clear" w:color="auto" w:fill="auto"/>
            <w:noWrap/>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0.011</w:t>
            </w:r>
          </w:p>
        </w:tc>
      </w:tr>
      <w:tr w:rsidR="00724BCF" w:rsidRPr="00724BCF" w:rsidTr="00790D0A">
        <w:trPr>
          <w:trHeight w:val="300"/>
        </w:trPr>
        <w:tc>
          <w:tcPr>
            <w:tcW w:w="1362" w:type="dxa"/>
            <w:tcBorders>
              <w:top w:val="nil"/>
              <w:left w:val="single" w:sz="4" w:space="0" w:color="auto"/>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2003</w:t>
            </w:r>
          </w:p>
        </w:tc>
        <w:tc>
          <w:tcPr>
            <w:tcW w:w="1260" w:type="dxa"/>
            <w:tcBorders>
              <w:top w:val="nil"/>
              <w:left w:val="nil"/>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25.6</w:t>
            </w:r>
          </w:p>
        </w:tc>
        <w:tc>
          <w:tcPr>
            <w:tcW w:w="1170" w:type="dxa"/>
            <w:tcBorders>
              <w:top w:val="nil"/>
              <w:left w:val="nil"/>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533.4</w:t>
            </w:r>
          </w:p>
        </w:tc>
        <w:tc>
          <w:tcPr>
            <w:tcW w:w="1350" w:type="dxa"/>
            <w:tcBorders>
              <w:top w:val="nil"/>
              <w:left w:val="nil"/>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1.53</w:t>
            </w:r>
          </w:p>
        </w:tc>
        <w:tc>
          <w:tcPr>
            <w:tcW w:w="1170" w:type="dxa"/>
            <w:tcBorders>
              <w:top w:val="nil"/>
              <w:left w:val="nil"/>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2.4</w:t>
            </w:r>
          </w:p>
        </w:tc>
        <w:tc>
          <w:tcPr>
            <w:tcW w:w="1170" w:type="dxa"/>
            <w:tcBorders>
              <w:top w:val="nil"/>
              <w:left w:val="nil"/>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41.2</w:t>
            </w:r>
          </w:p>
        </w:tc>
        <w:tc>
          <w:tcPr>
            <w:tcW w:w="1170" w:type="dxa"/>
            <w:tcBorders>
              <w:top w:val="nil"/>
              <w:left w:val="nil"/>
              <w:bottom w:val="single" w:sz="4" w:space="0" w:color="auto"/>
              <w:right w:val="single" w:sz="4" w:space="0" w:color="auto"/>
            </w:tcBorders>
            <w:shd w:val="clear" w:color="auto" w:fill="auto"/>
            <w:noWrap/>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0.011</w:t>
            </w:r>
          </w:p>
        </w:tc>
        <w:tc>
          <w:tcPr>
            <w:tcW w:w="1170" w:type="dxa"/>
            <w:tcBorders>
              <w:top w:val="nil"/>
              <w:left w:val="nil"/>
              <w:bottom w:val="single" w:sz="4" w:space="0" w:color="auto"/>
              <w:right w:val="single" w:sz="4" w:space="0" w:color="auto"/>
            </w:tcBorders>
            <w:shd w:val="clear" w:color="auto" w:fill="auto"/>
            <w:noWrap/>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0.022</w:t>
            </w:r>
          </w:p>
        </w:tc>
      </w:tr>
      <w:tr w:rsidR="00724BCF" w:rsidRPr="00724BCF" w:rsidTr="00790D0A">
        <w:trPr>
          <w:trHeight w:val="300"/>
        </w:trPr>
        <w:tc>
          <w:tcPr>
            <w:tcW w:w="1362" w:type="dxa"/>
            <w:tcBorders>
              <w:top w:val="nil"/>
              <w:left w:val="single" w:sz="4" w:space="0" w:color="auto"/>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2004</w:t>
            </w:r>
          </w:p>
        </w:tc>
        <w:tc>
          <w:tcPr>
            <w:tcW w:w="1260" w:type="dxa"/>
            <w:tcBorders>
              <w:top w:val="nil"/>
              <w:left w:val="nil"/>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28.2</w:t>
            </w:r>
          </w:p>
        </w:tc>
        <w:tc>
          <w:tcPr>
            <w:tcW w:w="1170" w:type="dxa"/>
            <w:tcBorders>
              <w:top w:val="nil"/>
              <w:left w:val="nil"/>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597.0</w:t>
            </w:r>
          </w:p>
        </w:tc>
        <w:tc>
          <w:tcPr>
            <w:tcW w:w="13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5.86</w:t>
            </w:r>
          </w:p>
        </w:tc>
        <w:tc>
          <w:tcPr>
            <w:tcW w:w="1170" w:type="dxa"/>
            <w:tcBorders>
              <w:top w:val="nil"/>
              <w:left w:val="nil"/>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5.6</w:t>
            </w:r>
          </w:p>
        </w:tc>
        <w:tc>
          <w:tcPr>
            <w:tcW w:w="1170" w:type="dxa"/>
            <w:tcBorders>
              <w:top w:val="nil"/>
              <w:left w:val="nil"/>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35.5</w:t>
            </w:r>
          </w:p>
        </w:tc>
        <w:tc>
          <w:tcPr>
            <w:tcW w:w="1170" w:type="dxa"/>
            <w:tcBorders>
              <w:top w:val="nil"/>
              <w:left w:val="nil"/>
              <w:bottom w:val="single" w:sz="4" w:space="0" w:color="auto"/>
              <w:right w:val="single" w:sz="4" w:space="0" w:color="auto"/>
            </w:tcBorders>
            <w:shd w:val="clear" w:color="auto" w:fill="auto"/>
            <w:noWrap/>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0.013</w:t>
            </w:r>
          </w:p>
        </w:tc>
        <w:tc>
          <w:tcPr>
            <w:tcW w:w="1170" w:type="dxa"/>
            <w:tcBorders>
              <w:top w:val="nil"/>
              <w:left w:val="nil"/>
              <w:bottom w:val="single" w:sz="4" w:space="0" w:color="auto"/>
              <w:right w:val="single" w:sz="4" w:space="0" w:color="auto"/>
            </w:tcBorders>
            <w:shd w:val="clear" w:color="auto" w:fill="auto"/>
            <w:noWrap/>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0.029</w:t>
            </w:r>
          </w:p>
        </w:tc>
      </w:tr>
      <w:tr w:rsidR="00724BCF" w:rsidRPr="00724BCF" w:rsidTr="00790D0A">
        <w:trPr>
          <w:trHeight w:val="300"/>
        </w:trPr>
        <w:tc>
          <w:tcPr>
            <w:tcW w:w="1362" w:type="dxa"/>
            <w:tcBorders>
              <w:top w:val="nil"/>
              <w:left w:val="single" w:sz="4" w:space="0" w:color="auto"/>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2005</w:t>
            </w:r>
          </w:p>
        </w:tc>
        <w:tc>
          <w:tcPr>
            <w:tcW w:w="1260" w:type="dxa"/>
            <w:tcBorders>
              <w:top w:val="nil"/>
              <w:left w:val="nil"/>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24.7</w:t>
            </w:r>
          </w:p>
        </w:tc>
        <w:tc>
          <w:tcPr>
            <w:tcW w:w="1170" w:type="dxa"/>
            <w:tcBorders>
              <w:top w:val="nil"/>
              <w:left w:val="nil"/>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598.4</w:t>
            </w:r>
          </w:p>
        </w:tc>
        <w:tc>
          <w:tcPr>
            <w:tcW w:w="13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2.90</w:t>
            </w:r>
          </w:p>
        </w:tc>
        <w:tc>
          <w:tcPr>
            <w:tcW w:w="1170" w:type="dxa"/>
            <w:tcBorders>
              <w:top w:val="nil"/>
              <w:left w:val="nil"/>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3.2</w:t>
            </w:r>
          </w:p>
        </w:tc>
        <w:tc>
          <w:tcPr>
            <w:tcW w:w="1170" w:type="dxa"/>
            <w:tcBorders>
              <w:top w:val="nil"/>
              <w:left w:val="nil"/>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51.5</w:t>
            </w:r>
          </w:p>
        </w:tc>
        <w:tc>
          <w:tcPr>
            <w:tcW w:w="1170" w:type="dxa"/>
            <w:tcBorders>
              <w:top w:val="nil"/>
              <w:left w:val="nil"/>
              <w:bottom w:val="single" w:sz="4" w:space="0" w:color="auto"/>
              <w:right w:val="single" w:sz="4" w:space="0" w:color="auto"/>
            </w:tcBorders>
            <w:shd w:val="clear" w:color="auto" w:fill="auto"/>
            <w:noWrap/>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0.005</w:t>
            </w:r>
          </w:p>
        </w:tc>
        <w:tc>
          <w:tcPr>
            <w:tcW w:w="1170" w:type="dxa"/>
            <w:tcBorders>
              <w:top w:val="nil"/>
              <w:left w:val="nil"/>
              <w:bottom w:val="single" w:sz="4" w:space="0" w:color="auto"/>
              <w:right w:val="single" w:sz="4" w:space="0" w:color="auto"/>
            </w:tcBorders>
            <w:shd w:val="clear" w:color="auto" w:fill="auto"/>
            <w:noWrap/>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0.029</w:t>
            </w:r>
          </w:p>
        </w:tc>
      </w:tr>
      <w:tr w:rsidR="00724BCF" w:rsidRPr="00724BCF" w:rsidTr="00790D0A">
        <w:trPr>
          <w:trHeight w:val="300"/>
        </w:trPr>
        <w:tc>
          <w:tcPr>
            <w:tcW w:w="1362" w:type="dxa"/>
            <w:tcBorders>
              <w:top w:val="nil"/>
              <w:left w:val="single" w:sz="4" w:space="0" w:color="auto"/>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2006</w:t>
            </w:r>
          </w:p>
        </w:tc>
        <w:tc>
          <w:tcPr>
            <w:tcW w:w="1260" w:type="dxa"/>
            <w:tcBorders>
              <w:top w:val="nil"/>
              <w:left w:val="nil"/>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22.7</w:t>
            </w:r>
          </w:p>
        </w:tc>
        <w:tc>
          <w:tcPr>
            <w:tcW w:w="1170" w:type="dxa"/>
            <w:tcBorders>
              <w:top w:val="nil"/>
              <w:left w:val="nil"/>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580.0</w:t>
            </w:r>
          </w:p>
        </w:tc>
        <w:tc>
          <w:tcPr>
            <w:tcW w:w="1350" w:type="dxa"/>
            <w:tcBorders>
              <w:top w:val="nil"/>
              <w:left w:val="nil"/>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1.18</w:t>
            </w:r>
          </w:p>
        </w:tc>
        <w:tc>
          <w:tcPr>
            <w:tcW w:w="1170" w:type="dxa"/>
            <w:tcBorders>
              <w:top w:val="nil"/>
              <w:left w:val="nil"/>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0.8</w:t>
            </w:r>
          </w:p>
        </w:tc>
        <w:tc>
          <w:tcPr>
            <w:tcW w:w="1170" w:type="dxa"/>
            <w:tcBorders>
              <w:top w:val="nil"/>
              <w:left w:val="nil"/>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36.2</w:t>
            </w:r>
          </w:p>
        </w:tc>
        <w:tc>
          <w:tcPr>
            <w:tcW w:w="1170" w:type="dxa"/>
            <w:tcBorders>
              <w:top w:val="nil"/>
              <w:left w:val="nil"/>
              <w:bottom w:val="single" w:sz="4" w:space="0" w:color="auto"/>
              <w:right w:val="single" w:sz="4" w:space="0" w:color="auto"/>
            </w:tcBorders>
            <w:shd w:val="clear" w:color="auto" w:fill="auto"/>
            <w:noWrap/>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0.004</w:t>
            </w:r>
          </w:p>
        </w:tc>
        <w:tc>
          <w:tcPr>
            <w:tcW w:w="1170" w:type="dxa"/>
            <w:tcBorders>
              <w:top w:val="nil"/>
              <w:left w:val="nil"/>
              <w:bottom w:val="single" w:sz="4" w:space="0" w:color="auto"/>
              <w:right w:val="single" w:sz="4" w:space="0" w:color="auto"/>
            </w:tcBorders>
            <w:shd w:val="clear" w:color="auto" w:fill="auto"/>
            <w:noWrap/>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0.019</w:t>
            </w:r>
          </w:p>
        </w:tc>
      </w:tr>
      <w:tr w:rsidR="00724BCF" w:rsidRPr="00724BCF" w:rsidTr="00790D0A">
        <w:trPr>
          <w:trHeight w:val="300"/>
        </w:trPr>
        <w:tc>
          <w:tcPr>
            <w:tcW w:w="1362" w:type="dxa"/>
            <w:tcBorders>
              <w:top w:val="nil"/>
              <w:left w:val="single" w:sz="4" w:space="0" w:color="auto"/>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2007</w:t>
            </w:r>
          </w:p>
        </w:tc>
        <w:tc>
          <w:tcPr>
            <w:tcW w:w="12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58.8</w:t>
            </w:r>
          </w:p>
        </w:tc>
        <w:tc>
          <w:tcPr>
            <w:tcW w:w="1170" w:type="dxa"/>
            <w:tcBorders>
              <w:top w:val="nil"/>
              <w:left w:val="nil"/>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581.1</w:t>
            </w:r>
          </w:p>
        </w:tc>
        <w:tc>
          <w:tcPr>
            <w:tcW w:w="1350" w:type="dxa"/>
            <w:tcBorders>
              <w:top w:val="nil"/>
              <w:left w:val="nil"/>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2.63</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8.1</w:t>
            </w:r>
          </w:p>
        </w:tc>
        <w:tc>
          <w:tcPr>
            <w:tcW w:w="1170" w:type="dxa"/>
            <w:tcBorders>
              <w:top w:val="nil"/>
              <w:left w:val="nil"/>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40.1</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0.013</w:t>
            </w:r>
          </w:p>
        </w:tc>
        <w:tc>
          <w:tcPr>
            <w:tcW w:w="1170" w:type="dxa"/>
            <w:tcBorders>
              <w:top w:val="nil"/>
              <w:left w:val="nil"/>
              <w:bottom w:val="single" w:sz="4" w:space="0" w:color="auto"/>
              <w:right w:val="single" w:sz="4" w:space="0" w:color="auto"/>
            </w:tcBorders>
            <w:shd w:val="clear" w:color="auto" w:fill="auto"/>
            <w:noWrap/>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0.033</w:t>
            </w:r>
          </w:p>
        </w:tc>
      </w:tr>
      <w:tr w:rsidR="00724BCF" w:rsidRPr="00724BCF" w:rsidTr="00790D0A">
        <w:trPr>
          <w:trHeight w:val="300"/>
        </w:trPr>
        <w:tc>
          <w:tcPr>
            <w:tcW w:w="1362" w:type="dxa"/>
            <w:tcBorders>
              <w:top w:val="nil"/>
              <w:left w:val="single" w:sz="4" w:space="0" w:color="auto"/>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2008</w:t>
            </w:r>
          </w:p>
        </w:tc>
        <w:tc>
          <w:tcPr>
            <w:tcW w:w="12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74.9</w:t>
            </w:r>
          </w:p>
        </w:tc>
        <w:tc>
          <w:tcPr>
            <w:tcW w:w="1170" w:type="dxa"/>
            <w:tcBorders>
              <w:top w:val="nil"/>
              <w:left w:val="nil"/>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620.7</w:t>
            </w:r>
          </w:p>
        </w:tc>
        <w:tc>
          <w:tcPr>
            <w:tcW w:w="1350" w:type="dxa"/>
            <w:tcBorders>
              <w:top w:val="nil"/>
              <w:left w:val="nil"/>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3.33</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7.6</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57.9</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0.011</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0.039</w:t>
            </w:r>
          </w:p>
        </w:tc>
      </w:tr>
      <w:tr w:rsidR="00724BCF" w:rsidRPr="00724BCF" w:rsidTr="00790D0A">
        <w:trPr>
          <w:trHeight w:val="300"/>
        </w:trPr>
        <w:tc>
          <w:tcPr>
            <w:tcW w:w="1362" w:type="dxa"/>
            <w:tcBorders>
              <w:top w:val="nil"/>
              <w:left w:val="single" w:sz="4" w:space="0" w:color="auto"/>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2009</w:t>
            </w:r>
          </w:p>
        </w:tc>
        <w:tc>
          <w:tcPr>
            <w:tcW w:w="1260" w:type="dxa"/>
            <w:tcBorders>
              <w:top w:val="nil"/>
              <w:left w:val="nil"/>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35.1</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703.9</w:t>
            </w:r>
          </w:p>
        </w:tc>
        <w:tc>
          <w:tcPr>
            <w:tcW w:w="1350" w:type="dxa"/>
            <w:tcBorders>
              <w:top w:val="nil"/>
              <w:left w:val="nil"/>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2.25</w:t>
            </w:r>
          </w:p>
        </w:tc>
        <w:tc>
          <w:tcPr>
            <w:tcW w:w="1170" w:type="dxa"/>
            <w:tcBorders>
              <w:top w:val="nil"/>
              <w:left w:val="nil"/>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5.3</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59.4</w:t>
            </w:r>
          </w:p>
        </w:tc>
        <w:tc>
          <w:tcPr>
            <w:tcW w:w="1170" w:type="dxa"/>
            <w:tcBorders>
              <w:top w:val="nil"/>
              <w:left w:val="nil"/>
              <w:bottom w:val="single" w:sz="4" w:space="0" w:color="auto"/>
              <w:right w:val="single" w:sz="4" w:space="0" w:color="auto"/>
            </w:tcBorders>
            <w:shd w:val="clear" w:color="auto" w:fill="auto"/>
            <w:noWrap/>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0.008</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0.037</w:t>
            </w:r>
          </w:p>
        </w:tc>
      </w:tr>
      <w:tr w:rsidR="00724BCF" w:rsidRPr="00724BCF" w:rsidTr="00790D0A">
        <w:trPr>
          <w:trHeight w:val="300"/>
        </w:trPr>
        <w:tc>
          <w:tcPr>
            <w:tcW w:w="1362" w:type="dxa"/>
            <w:tcBorders>
              <w:top w:val="nil"/>
              <w:left w:val="single" w:sz="4" w:space="0" w:color="auto"/>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2010</w:t>
            </w:r>
          </w:p>
        </w:tc>
        <w:tc>
          <w:tcPr>
            <w:tcW w:w="1260" w:type="dxa"/>
            <w:tcBorders>
              <w:top w:val="nil"/>
              <w:left w:val="nil"/>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32.5</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717.4</w:t>
            </w:r>
          </w:p>
        </w:tc>
        <w:tc>
          <w:tcPr>
            <w:tcW w:w="1350" w:type="dxa"/>
            <w:tcBorders>
              <w:top w:val="nil"/>
              <w:left w:val="nil"/>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1.41</w:t>
            </w:r>
          </w:p>
        </w:tc>
        <w:tc>
          <w:tcPr>
            <w:tcW w:w="1170" w:type="dxa"/>
            <w:tcBorders>
              <w:top w:val="nil"/>
              <w:left w:val="nil"/>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5.6</w:t>
            </w:r>
          </w:p>
        </w:tc>
        <w:tc>
          <w:tcPr>
            <w:tcW w:w="1170" w:type="dxa"/>
            <w:tcBorders>
              <w:top w:val="nil"/>
              <w:left w:val="nil"/>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51.3</w:t>
            </w:r>
          </w:p>
        </w:tc>
        <w:tc>
          <w:tcPr>
            <w:tcW w:w="1170" w:type="dxa"/>
            <w:tcBorders>
              <w:top w:val="nil"/>
              <w:left w:val="nil"/>
              <w:bottom w:val="single" w:sz="4" w:space="0" w:color="auto"/>
              <w:right w:val="single" w:sz="4" w:space="0" w:color="auto"/>
            </w:tcBorders>
            <w:shd w:val="clear" w:color="auto" w:fill="auto"/>
            <w:noWrap/>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0.007</w:t>
            </w:r>
          </w:p>
        </w:tc>
        <w:tc>
          <w:tcPr>
            <w:tcW w:w="1170" w:type="dxa"/>
            <w:tcBorders>
              <w:top w:val="nil"/>
              <w:left w:val="nil"/>
              <w:bottom w:val="single" w:sz="4" w:space="0" w:color="auto"/>
              <w:right w:val="single" w:sz="4" w:space="0" w:color="auto"/>
            </w:tcBorders>
            <w:shd w:val="clear" w:color="auto" w:fill="auto"/>
            <w:noWrap/>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0.030</w:t>
            </w:r>
          </w:p>
        </w:tc>
      </w:tr>
      <w:tr w:rsidR="00724BCF" w:rsidRPr="00724BCF" w:rsidTr="00790D0A">
        <w:trPr>
          <w:trHeight w:val="300"/>
        </w:trPr>
        <w:tc>
          <w:tcPr>
            <w:tcW w:w="1362" w:type="dxa"/>
            <w:tcBorders>
              <w:top w:val="nil"/>
              <w:left w:val="single" w:sz="4" w:space="0" w:color="auto"/>
              <w:bottom w:val="single" w:sz="4" w:space="0" w:color="auto"/>
              <w:right w:val="single" w:sz="4" w:space="0" w:color="auto"/>
            </w:tcBorders>
            <w:shd w:val="clear" w:color="000000" w:fill="FFFFFF"/>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2011</w:t>
            </w:r>
          </w:p>
        </w:tc>
        <w:tc>
          <w:tcPr>
            <w:tcW w:w="1260" w:type="dxa"/>
            <w:tcBorders>
              <w:top w:val="nil"/>
              <w:left w:val="nil"/>
              <w:bottom w:val="single" w:sz="4" w:space="0" w:color="auto"/>
              <w:right w:val="single" w:sz="4" w:space="0" w:color="auto"/>
            </w:tcBorders>
            <w:shd w:val="clear" w:color="000000" w:fill="FFFFFF"/>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30.3</w:t>
            </w:r>
          </w:p>
        </w:tc>
        <w:tc>
          <w:tcPr>
            <w:tcW w:w="1170" w:type="dxa"/>
            <w:tcBorders>
              <w:top w:val="nil"/>
              <w:left w:val="nil"/>
              <w:bottom w:val="single" w:sz="4" w:space="0" w:color="auto"/>
              <w:right w:val="single" w:sz="4" w:space="0" w:color="auto"/>
            </w:tcBorders>
            <w:shd w:val="clear" w:color="000000" w:fill="FFFFFF"/>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679.4</w:t>
            </w:r>
          </w:p>
        </w:tc>
        <w:tc>
          <w:tcPr>
            <w:tcW w:w="1350" w:type="dxa"/>
            <w:tcBorders>
              <w:top w:val="nil"/>
              <w:left w:val="nil"/>
              <w:bottom w:val="single" w:sz="4" w:space="0" w:color="auto"/>
              <w:right w:val="single" w:sz="4" w:space="0" w:color="auto"/>
            </w:tcBorders>
            <w:shd w:val="clear" w:color="000000" w:fill="FFFFFF"/>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1.47</w:t>
            </w:r>
          </w:p>
        </w:tc>
        <w:tc>
          <w:tcPr>
            <w:tcW w:w="1170" w:type="dxa"/>
            <w:tcBorders>
              <w:top w:val="nil"/>
              <w:left w:val="nil"/>
              <w:bottom w:val="single" w:sz="4" w:space="0" w:color="auto"/>
              <w:right w:val="single" w:sz="4" w:space="0" w:color="auto"/>
            </w:tcBorders>
            <w:shd w:val="clear" w:color="000000" w:fill="FFFFFF"/>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9.3</w:t>
            </w:r>
          </w:p>
        </w:tc>
        <w:tc>
          <w:tcPr>
            <w:tcW w:w="1170" w:type="dxa"/>
            <w:tcBorders>
              <w:top w:val="nil"/>
              <w:left w:val="nil"/>
              <w:bottom w:val="single" w:sz="4" w:space="0" w:color="auto"/>
              <w:right w:val="single" w:sz="4" w:space="0" w:color="auto"/>
            </w:tcBorders>
            <w:shd w:val="clear" w:color="000000" w:fill="FFFFFF"/>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53.9</w:t>
            </w:r>
          </w:p>
        </w:tc>
        <w:tc>
          <w:tcPr>
            <w:tcW w:w="1170" w:type="dxa"/>
            <w:tcBorders>
              <w:top w:val="nil"/>
              <w:left w:val="nil"/>
              <w:bottom w:val="single" w:sz="4" w:space="0" w:color="auto"/>
              <w:right w:val="single" w:sz="4" w:space="0" w:color="auto"/>
            </w:tcBorders>
            <w:shd w:val="clear" w:color="auto" w:fill="auto"/>
            <w:noWrap/>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0.007</w:t>
            </w:r>
          </w:p>
        </w:tc>
        <w:tc>
          <w:tcPr>
            <w:tcW w:w="1170" w:type="dxa"/>
            <w:tcBorders>
              <w:top w:val="nil"/>
              <w:left w:val="nil"/>
              <w:bottom w:val="single" w:sz="4" w:space="0" w:color="auto"/>
              <w:right w:val="single" w:sz="4" w:space="0" w:color="auto"/>
            </w:tcBorders>
            <w:shd w:val="clear" w:color="auto" w:fill="auto"/>
            <w:noWrap/>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0.031</w:t>
            </w:r>
          </w:p>
        </w:tc>
      </w:tr>
      <w:tr w:rsidR="00D4492F" w:rsidRPr="00724BCF" w:rsidTr="00790D0A">
        <w:trPr>
          <w:trHeight w:val="300"/>
        </w:trPr>
        <w:tc>
          <w:tcPr>
            <w:tcW w:w="13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4492F" w:rsidRPr="00775A58" w:rsidRDefault="00D4492F" w:rsidP="00790D0A">
            <w:pPr>
              <w:spacing w:before="40" w:after="40"/>
              <w:jc w:val="center"/>
              <w:rPr>
                <w:b/>
                <w:color w:val="000000"/>
                <w:sz w:val="22"/>
                <w:szCs w:val="22"/>
                <w:vertAlign w:val="superscript"/>
              </w:rPr>
            </w:pPr>
            <w:r>
              <w:rPr>
                <w:color w:val="000000"/>
                <w:sz w:val="22"/>
                <w:szCs w:val="22"/>
              </w:rPr>
              <w:t>Baseline</w:t>
            </w:r>
            <w:r w:rsidR="00775A58">
              <w:rPr>
                <w:color w:val="000000"/>
                <w:sz w:val="22"/>
                <w:szCs w:val="22"/>
              </w:rPr>
              <w:t xml:space="preserve"> </w:t>
            </w:r>
            <w:r w:rsidR="00775A58">
              <w:rPr>
                <w:b/>
                <w:color w:val="000000"/>
                <w:sz w:val="22"/>
                <w:szCs w:val="22"/>
                <w:vertAlign w:val="superscript"/>
              </w:rPr>
              <w:t>1</w:t>
            </w:r>
          </w:p>
        </w:tc>
        <w:tc>
          <w:tcPr>
            <w:tcW w:w="12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4492F" w:rsidRPr="00724BCF" w:rsidRDefault="00D4492F" w:rsidP="00790D0A">
            <w:pPr>
              <w:spacing w:before="40" w:after="40"/>
              <w:jc w:val="center"/>
              <w:rPr>
                <w:color w:val="000000"/>
                <w:sz w:val="22"/>
                <w:szCs w:val="22"/>
              </w:rPr>
            </w:pPr>
            <w:r>
              <w:rPr>
                <w:color w:val="000000"/>
                <w:sz w:val="22"/>
                <w:szCs w:val="22"/>
              </w:rPr>
              <w:t>66.8</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4492F" w:rsidRPr="00724BCF" w:rsidRDefault="00D4492F" w:rsidP="00790D0A">
            <w:pPr>
              <w:spacing w:before="40" w:after="40"/>
              <w:jc w:val="center"/>
              <w:rPr>
                <w:color w:val="000000"/>
                <w:sz w:val="22"/>
                <w:szCs w:val="22"/>
              </w:rPr>
            </w:pPr>
            <w:r>
              <w:rPr>
                <w:color w:val="000000"/>
                <w:sz w:val="22"/>
                <w:szCs w:val="22"/>
              </w:rPr>
              <w:t>710.6</w:t>
            </w:r>
          </w:p>
        </w:tc>
        <w:tc>
          <w:tcPr>
            <w:tcW w:w="13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4492F" w:rsidRPr="00724BCF" w:rsidRDefault="00D4492F" w:rsidP="00790D0A">
            <w:pPr>
              <w:spacing w:before="40" w:after="40"/>
              <w:jc w:val="center"/>
              <w:rPr>
                <w:color w:val="000000"/>
                <w:sz w:val="22"/>
                <w:szCs w:val="22"/>
              </w:rPr>
            </w:pPr>
            <w:r>
              <w:rPr>
                <w:color w:val="000000"/>
                <w:sz w:val="22"/>
                <w:szCs w:val="22"/>
              </w:rPr>
              <w:t>4.38</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4492F" w:rsidRPr="00724BCF" w:rsidRDefault="00D4492F" w:rsidP="00790D0A">
            <w:pPr>
              <w:spacing w:before="40" w:after="40"/>
              <w:jc w:val="center"/>
              <w:rPr>
                <w:color w:val="000000"/>
                <w:sz w:val="22"/>
                <w:szCs w:val="22"/>
              </w:rPr>
            </w:pPr>
            <w:r>
              <w:rPr>
                <w:color w:val="000000"/>
                <w:sz w:val="22"/>
                <w:szCs w:val="22"/>
              </w:rPr>
              <w:t>7.9</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4492F" w:rsidRPr="00724BCF" w:rsidRDefault="00D4492F" w:rsidP="00790D0A">
            <w:pPr>
              <w:spacing w:before="40" w:after="40"/>
              <w:jc w:val="center"/>
              <w:rPr>
                <w:color w:val="000000"/>
                <w:sz w:val="22"/>
                <w:szCs w:val="22"/>
              </w:rPr>
            </w:pPr>
            <w:r>
              <w:rPr>
                <w:color w:val="000000"/>
                <w:sz w:val="22"/>
                <w:szCs w:val="22"/>
              </w:rPr>
              <w:t>58.6</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D4492F" w:rsidRPr="00724BCF" w:rsidRDefault="00D4492F" w:rsidP="00790D0A">
            <w:pPr>
              <w:spacing w:before="40" w:after="40"/>
              <w:jc w:val="center"/>
              <w:rPr>
                <w:color w:val="000000"/>
                <w:sz w:val="22"/>
                <w:szCs w:val="22"/>
              </w:rPr>
            </w:pPr>
            <w:r>
              <w:rPr>
                <w:color w:val="000000"/>
                <w:sz w:val="22"/>
                <w:szCs w:val="22"/>
              </w:rPr>
              <w:t>0.012</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D4492F" w:rsidRPr="00724BCF" w:rsidRDefault="00D4492F" w:rsidP="00790D0A">
            <w:pPr>
              <w:spacing w:before="40" w:after="40"/>
              <w:jc w:val="center"/>
              <w:rPr>
                <w:color w:val="000000"/>
                <w:sz w:val="22"/>
                <w:szCs w:val="22"/>
              </w:rPr>
            </w:pPr>
            <w:r>
              <w:rPr>
                <w:color w:val="000000"/>
                <w:sz w:val="22"/>
                <w:szCs w:val="22"/>
              </w:rPr>
              <w:t>0.038</w:t>
            </w:r>
          </w:p>
        </w:tc>
      </w:tr>
      <w:tr w:rsidR="00724BCF" w:rsidRPr="00724BCF" w:rsidTr="00790D0A">
        <w:trPr>
          <w:trHeight w:val="315"/>
        </w:trPr>
        <w:tc>
          <w:tcPr>
            <w:tcW w:w="1362" w:type="dxa"/>
            <w:tcBorders>
              <w:top w:val="nil"/>
              <w:left w:val="single" w:sz="4" w:space="0" w:color="auto"/>
              <w:bottom w:val="double" w:sz="4" w:space="0" w:color="auto"/>
              <w:right w:val="single" w:sz="4" w:space="0" w:color="auto"/>
            </w:tcBorders>
            <w:shd w:val="clear" w:color="000000" w:fill="FFFFFF"/>
            <w:vAlign w:val="center"/>
            <w:hideMark/>
          </w:tcPr>
          <w:p w:rsidR="00724BCF" w:rsidRPr="00775A58" w:rsidRDefault="00775A58" w:rsidP="00790D0A">
            <w:pPr>
              <w:spacing w:before="40" w:after="40"/>
              <w:jc w:val="center"/>
              <w:rPr>
                <w:b/>
                <w:color w:val="000000"/>
                <w:sz w:val="22"/>
                <w:szCs w:val="22"/>
                <w:vertAlign w:val="superscript"/>
              </w:rPr>
            </w:pPr>
            <w:r>
              <w:rPr>
                <w:color w:val="000000"/>
                <w:sz w:val="22"/>
                <w:szCs w:val="22"/>
              </w:rPr>
              <w:t xml:space="preserve">PTE </w:t>
            </w:r>
            <w:r>
              <w:rPr>
                <w:b/>
                <w:color w:val="000000"/>
                <w:sz w:val="22"/>
                <w:szCs w:val="22"/>
                <w:vertAlign w:val="superscript"/>
              </w:rPr>
              <w:t>2</w:t>
            </w:r>
          </w:p>
        </w:tc>
        <w:tc>
          <w:tcPr>
            <w:tcW w:w="1260" w:type="dxa"/>
            <w:tcBorders>
              <w:top w:val="nil"/>
              <w:left w:val="nil"/>
              <w:bottom w:val="double" w:sz="4" w:space="0" w:color="auto"/>
              <w:right w:val="single" w:sz="4" w:space="0" w:color="auto"/>
            </w:tcBorders>
            <w:shd w:val="clear" w:color="000000" w:fill="FFFFFF"/>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228.8</w:t>
            </w:r>
          </w:p>
        </w:tc>
        <w:tc>
          <w:tcPr>
            <w:tcW w:w="1170" w:type="dxa"/>
            <w:tcBorders>
              <w:top w:val="nil"/>
              <w:left w:val="nil"/>
              <w:bottom w:val="double" w:sz="4" w:space="0" w:color="auto"/>
              <w:right w:val="single" w:sz="4" w:space="0" w:color="auto"/>
            </w:tcBorders>
            <w:shd w:val="clear" w:color="000000" w:fill="FFFFFF"/>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768.0</w:t>
            </w:r>
          </w:p>
        </w:tc>
        <w:tc>
          <w:tcPr>
            <w:tcW w:w="1350" w:type="dxa"/>
            <w:tcBorders>
              <w:top w:val="nil"/>
              <w:left w:val="nil"/>
              <w:bottom w:val="double" w:sz="4" w:space="0" w:color="auto"/>
              <w:right w:val="single" w:sz="4" w:space="0" w:color="auto"/>
            </w:tcBorders>
            <w:shd w:val="clear" w:color="000000" w:fill="FFFFFF"/>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49.9</w:t>
            </w:r>
          </w:p>
        </w:tc>
        <w:tc>
          <w:tcPr>
            <w:tcW w:w="1170" w:type="dxa"/>
            <w:tcBorders>
              <w:top w:val="nil"/>
              <w:left w:val="nil"/>
              <w:bottom w:val="double" w:sz="4" w:space="0" w:color="auto"/>
              <w:right w:val="single" w:sz="4" w:space="0" w:color="auto"/>
            </w:tcBorders>
            <w:shd w:val="clear" w:color="000000" w:fill="FFFFFF"/>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431.7</w:t>
            </w:r>
          </w:p>
        </w:tc>
        <w:tc>
          <w:tcPr>
            <w:tcW w:w="1170" w:type="dxa"/>
            <w:tcBorders>
              <w:top w:val="nil"/>
              <w:left w:val="nil"/>
              <w:bottom w:val="double" w:sz="4" w:space="0" w:color="auto"/>
              <w:right w:val="single" w:sz="4" w:space="0" w:color="auto"/>
            </w:tcBorders>
            <w:shd w:val="clear" w:color="000000" w:fill="FFFFFF"/>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223.3</w:t>
            </w:r>
          </w:p>
        </w:tc>
        <w:tc>
          <w:tcPr>
            <w:tcW w:w="1170" w:type="dxa"/>
            <w:tcBorders>
              <w:top w:val="nil"/>
              <w:left w:val="nil"/>
              <w:bottom w:val="double" w:sz="4" w:space="0" w:color="auto"/>
              <w:right w:val="single" w:sz="4" w:space="0" w:color="auto"/>
            </w:tcBorders>
            <w:shd w:val="clear" w:color="auto" w:fill="auto"/>
            <w:noWrap/>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0.785</w:t>
            </w:r>
          </w:p>
        </w:tc>
        <w:tc>
          <w:tcPr>
            <w:tcW w:w="1170" w:type="dxa"/>
            <w:tcBorders>
              <w:top w:val="nil"/>
              <w:left w:val="nil"/>
              <w:bottom w:val="double" w:sz="4" w:space="0" w:color="auto"/>
              <w:right w:val="single" w:sz="4" w:space="0" w:color="auto"/>
            </w:tcBorders>
            <w:shd w:val="clear" w:color="auto" w:fill="auto"/>
            <w:noWrap/>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0.186</w:t>
            </w:r>
          </w:p>
        </w:tc>
      </w:tr>
      <w:tr w:rsidR="00D4492F" w:rsidRPr="00724BCF" w:rsidTr="00790D0A">
        <w:trPr>
          <w:trHeight w:val="296"/>
        </w:trPr>
        <w:tc>
          <w:tcPr>
            <w:tcW w:w="1362"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rsidR="00D4492F" w:rsidRPr="00724BCF" w:rsidRDefault="00D4492F" w:rsidP="00790D0A">
            <w:pPr>
              <w:spacing w:before="40" w:after="40"/>
              <w:jc w:val="center"/>
              <w:rPr>
                <w:b/>
                <w:color w:val="000000"/>
                <w:sz w:val="22"/>
                <w:szCs w:val="22"/>
                <w:u w:val="single"/>
              </w:rPr>
            </w:pPr>
            <w:r w:rsidRPr="00724BCF">
              <w:rPr>
                <w:b/>
                <w:color w:val="000000"/>
                <w:sz w:val="22"/>
                <w:szCs w:val="22"/>
                <w:u w:val="single"/>
              </w:rPr>
              <w:t>Unit 4</w:t>
            </w:r>
          </w:p>
        </w:tc>
        <w:tc>
          <w:tcPr>
            <w:tcW w:w="1260" w:type="dxa"/>
            <w:tcBorders>
              <w:top w:val="double" w:sz="4" w:space="0" w:color="auto"/>
              <w:left w:val="nil"/>
              <w:bottom w:val="single" w:sz="4" w:space="0" w:color="auto"/>
              <w:right w:val="single" w:sz="4" w:space="0" w:color="auto"/>
            </w:tcBorders>
            <w:shd w:val="clear" w:color="auto" w:fill="auto"/>
            <w:noWrap/>
            <w:vAlign w:val="center"/>
            <w:hideMark/>
          </w:tcPr>
          <w:p w:rsidR="00D4492F" w:rsidRPr="00724BCF" w:rsidRDefault="00D4492F" w:rsidP="00790D0A">
            <w:pPr>
              <w:spacing w:before="40" w:after="40"/>
              <w:jc w:val="center"/>
              <w:rPr>
                <w:b/>
                <w:color w:val="000000"/>
                <w:sz w:val="22"/>
                <w:szCs w:val="22"/>
                <w:u w:val="single"/>
              </w:rPr>
            </w:pPr>
            <w:r w:rsidRPr="00724BCF">
              <w:rPr>
                <w:b/>
                <w:color w:val="000000"/>
                <w:sz w:val="22"/>
                <w:szCs w:val="22"/>
                <w:u w:val="single"/>
              </w:rPr>
              <w:t>CO</w:t>
            </w:r>
          </w:p>
        </w:tc>
        <w:tc>
          <w:tcPr>
            <w:tcW w:w="1170" w:type="dxa"/>
            <w:tcBorders>
              <w:top w:val="double" w:sz="4" w:space="0" w:color="auto"/>
              <w:left w:val="nil"/>
              <w:bottom w:val="single" w:sz="4" w:space="0" w:color="auto"/>
              <w:right w:val="single" w:sz="4" w:space="0" w:color="auto"/>
            </w:tcBorders>
            <w:shd w:val="clear" w:color="auto" w:fill="auto"/>
            <w:noWrap/>
            <w:vAlign w:val="center"/>
            <w:hideMark/>
          </w:tcPr>
          <w:p w:rsidR="00D4492F" w:rsidRPr="00DE4AD7" w:rsidRDefault="00D4492F" w:rsidP="00790D0A">
            <w:pPr>
              <w:spacing w:before="40" w:after="40"/>
              <w:jc w:val="center"/>
              <w:rPr>
                <w:b/>
                <w:color w:val="000000"/>
                <w:sz w:val="22"/>
                <w:szCs w:val="22"/>
                <w:u w:val="single"/>
              </w:rPr>
            </w:pPr>
            <w:r w:rsidRPr="00DE4AD7">
              <w:rPr>
                <w:b/>
                <w:color w:val="000000"/>
                <w:sz w:val="22"/>
                <w:szCs w:val="22"/>
                <w:u w:val="single"/>
              </w:rPr>
              <w:t>NO</w:t>
            </w:r>
            <w:r w:rsidRPr="00DE4AD7">
              <w:rPr>
                <w:b/>
                <w:color w:val="000000"/>
                <w:sz w:val="22"/>
                <w:szCs w:val="22"/>
                <w:u w:val="single"/>
                <w:vertAlign w:val="subscript"/>
              </w:rPr>
              <w:t>X</w:t>
            </w:r>
          </w:p>
        </w:tc>
        <w:tc>
          <w:tcPr>
            <w:tcW w:w="1350" w:type="dxa"/>
            <w:tcBorders>
              <w:top w:val="double" w:sz="4" w:space="0" w:color="auto"/>
              <w:left w:val="nil"/>
              <w:bottom w:val="single" w:sz="4" w:space="0" w:color="auto"/>
              <w:right w:val="single" w:sz="4" w:space="0" w:color="auto"/>
            </w:tcBorders>
            <w:shd w:val="clear" w:color="auto" w:fill="auto"/>
            <w:noWrap/>
            <w:vAlign w:val="center"/>
            <w:hideMark/>
          </w:tcPr>
          <w:p w:rsidR="00D4492F" w:rsidRPr="00724BCF" w:rsidRDefault="00D4492F" w:rsidP="00790D0A">
            <w:pPr>
              <w:spacing w:before="40" w:after="40"/>
              <w:jc w:val="center"/>
              <w:rPr>
                <w:b/>
                <w:color w:val="000000"/>
                <w:sz w:val="22"/>
                <w:szCs w:val="22"/>
                <w:u w:val="single"/>
              </w:rPr>
            </w:pPr>
            <w:r w:rsidRPr="00724BCF">
              <w:rPr>
                <w:b/>
                <w:color w:val="000000"/>
                <w:sz w:val="22"/>
                <w:szCs w:val="22"/>
                <w:u w:val="single"/>
              </w:rPr>
              <w:t>PM/PM</w:t>
            </w:r>
            <w:r w:rsidRPr="00724BCF">
              <w:rPr>
                <w:b/>
                <w:color w:val="000000"/>
                <w:sz w:val="22"/>
                <w:szCs w:val="22"/>
                <w:u w:val="single"/>
                <w:vertAlign w:val="subscript"/>
              </w:rPr>
              <w:t>10</w:t>
            </w:r>
          </w:p>
        </w:tc>
        <w:tc>
          <w:tcPr>
            <w:tcW w:w="1170" w:type="dxa"/>
            <w:tcBorders>
              <w:top w:val="double" w:sz="4" w:space="0" w:color="auto"/>
              <w:left w:val="nil"/>
              <w:bottom w:val="single" w:sz="4" w:space="0" w:color="auto"/>
              <w:right w:val="single" w:sz="4" w:space="0" w:color="auto"/>
            </w:tcBorders>
            <w:shd w:val="clear" w:color="auto" w:fill="auto"/>
            <w:noWrap/>
            <w:vAlign w:val="center"/>
            <w:hideMark/>
          </w:tcPr>
          <w:p w:rsidR="00D4492F" w:rsidRPr="00724BCF" w:rsidRDefault="00D4492F" w:rsidP="00790D0A">
            <w:pPr>
              <w:spacing w:before="40" w:after="40"/>
              <w:jc w:val="center"/>
              <w:rPr>
                <w:b/>
                <w:color w:val="000000"/>
                <w:sz w:val="22"/>
                <w:szCs w:val="22"/>
                <w:u w:val="single"/>
              </w:rPr>
            </w:pPr>
            <w:r w:rsidRPr="00724BCF">
              <w:rPr>
                <w:b/>
                <w:color w:val="000000"/>
                <w:sz w:val="22"/>
                <w:szCs w:val="22"/>
                <w:u w:val="single"/>
              </w:rPr>
              <w:t>SO</w:t>
            </w:r>
            <w:r w:rsidRPr="00DE4AD7">
              <w:rPr>
                <w:b/>
                <w:color w:val="000000"/>
                <w:sz w:val="22"/>
                <w:szCs w:val="22"/>
                <w:u w:val="single"/>
                <w:vertAlign w:val="subscript"/>
              </w:rPr>
              <w:t>2</w:t>
            </w:r>
          </w:p>
        </w:tc>
        <w:tc>
          <w:tcPr>
            <w:tcW w:w="1170" w:type="dxa"/>
            <w:tcBorders>
              <w:top w:val="double" w:sz="4" w:space="0" w:color="auto"/>
              <w:left w:val="nil"/>
              <w:bottom w:val="single" w:sz="4" w:space="0" w:color="auto"/>
              <w:right w:val="single" w:sz="4" w:space="0" w:color="auto"/>
            </w:tcBorders>
            <w:shd w:val="clear" w:color="auto" w:fill="auto"/>
            <w:noWrap/>
            <w:vAlign w:val="center"/>
            <w:hideMark/>
          </w:tcPr>
          <w:p w:rsidR="00D4492F" w:rsidRPr="00724BCF" w:rsidRDefault="00D4492F" w:rsidP="00790D0A">
            <w:pPr>
              <w:spacing w:before="40" w:after="40"/>
              <w:jc w:val="center"/>
              <w:rPr>
                <w:b/>
                <w:color w:val="000000"/>
                <w:sz w:val="22"/>
                <w:szCs w:val="22"/>
                <w:u w:val="single"/>
              </w:rPr>
            </w:pPr>
            <w:r w:rsidRPr="00724BCF">
              <w:rPr>
                <w:b/>
                <w:color w:val="000000"/>
                <w:sz w:val="22"/>
                <w:szCs w:val="22"/>
                <w:u w:val="single"/>
              </w:rPr>
              <w:t>HCl</w:t>
            </w:r>
          </w:p>
        </w:tc>
        <w:tc>
          <w:tcPr>
            <w:tcW w:w="1170" w:type="dxa"/>
            <w:tcBorders>
              <w:top w:val="double" w:sz="4" w:space="0" w:color="auto"/>
              <w:left w:val="nil"/>
              <w:bottom w:val="single" w:sz="4" w:space="0" w:color="auto"/>
              <w:right w:val="single" w:sz="4" w:space="0" w:color="auto"/>
            </w:tcBorders>
            <w:shd w:val="clear" w:color="auto" w:fill="auto"/>
            <w:noWrap/>
            <w:vAlign w:val="center"/>
            <w:hideMark/>
          </w:tcPr>
          <w:p w:rsidR="00D4492F" w:rsidRPr="00724BCF" w:rsidRDefault="00D4492F" w:rsidP="00790D0A">
            <w:pPr>
              <w:spacing w:before="40" w:after="40"/>
              <w:jc w:val="center"/>
              <w:rPr>
                <w:b/>
                <w:color w:val="000000"/>
                <w:sz w:val="22"/>
                <w:szCs w:val="22"/>
                <w:u w:val="single"/>
              </w:rPr>
            </w:pPr>
            <w:r w:rsidRPr="00724BCF">
              <w:rPr>
                <w:b/>
                <w:color w:val="000000"/>
                <w:sz w:val="22"/>
                <w:szCs w:val="22"/>
                <w:u w:val="single"/>
              </w:rPr>
              <w:t>Pb</w:t>
            </w:r>
          </w:p>
        </w:tc>
        <w:tc>
          <w:tcPr>
            <w:tcW w:w="1170" w:type="dxa"/>
            <w:tcBorders>
              <w:top w:val="double" w:sz="4" w:space="0" w:color="auto"/>
              <w:left w:val="nil"/>
              <w:bottom w:val="single" w:sz="4" w:space="0" w:color="auto"/>
              <w:right w:val="single" w:sz="4" w:space="0" w:color="auto"/>
            </w:tcBorders>
            <w:shd w:val="clear" w:color="auto" w:fill="auto"/>
            <w:noWrap/>
            <w:vAlign w:val="center"/>
            <w:hideMark/>
          </w:tcPr>
          <w:p w:rsidR="00D4492F" w:rsidRPr="00724BCF" w:rsidRDefault="00D4492F" w:rsidP="00790D0A">
            <w:pPr>
              <w:spacing w:before="40" w:after="40"/>
              <w:jc w:val="center"/>
              <w:rPr>
                <w:b/>
                <w:color w:val="000000"/>
                <w:sz w:val="22"/>
                <w:szCs w:val="22"/>
                <w:u w:val="single"/>
              </w:rPr>
            </w:pPr>
            <w:r w:rsidRPr="00724BCF">
              <w:rPr>
                <w:b/>
                <w:color w:val="000000"/>
                <w:sz w:val="22"/>
                <w:szCs w:val="22"/>
                <w:u w:val="single"/>
              </w:rPr>
              <w:t>Hg</w:t>
            </w:r>
          </w:p>
        </w:tc>
      </w:tr>
      <w:tr w:rsidR="00724BCF" w:rsidRPr="00724BCF" w:rsidTr="00790D0A">
        <w:trPr>
          <w:trHeight w:val="300"/>
        </w:trPr>
        <w:tc>
          <w:tcPr>
            <w:tcW w:w="1362" w:type="dxa"/>
            <w:tcBorders>
              <w:top w:val="nil"/>
              <w:left w:val="single" w:sz="4" w:space="0" w:color="auto"/>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2009</w:t>
            </w:r>
          </w:p>
        </w:tc>
        <w:tc>
          <w:tcPr>
            <w:tcW w:w="1260" w:type="dxa"/>
            <w:tcBorders>
              <w:top w:val="nil"/>
              <w:left w:val="nil"/>
              <w:bottom w:val="single" w:sz="4" w:space="0" w:color="auto"/>
              <w:right w:val="single" w:sz="4" w:space="0" w:color="auto"/>
            </w:tcBorders>
            <w:shd w:val="clear" w:color="000000" w:fill="FFFFFF"/>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16.8</w:t>
            </w:r>
          </w:p>
        </w:tc>
        <w:tc>
          <w:tcPr>
            <w:tcW w:w="1170" w:type="dxa"/>
            <w:tcBorders>
              <w:top w:val="nil"/>
              <w:left w:val="nil"/>
              <w:bottom w:val="single" w:sz="4" w:space="0" w:color="auto"/>
              <w:right w:val="single" w:sz="4" w:space="0" w:color="auto"/>
            </w:tcBorders>
            <w:shd w:val="clear" w:color="000000" w:fill="FFFFFF"/>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73.6</w:t>
            </w:r>
          </w:p>
        </w:tc>
        <w:tc>
          <w:tcPr>
            <w:tcW w:w="1350" w:type="dxa"/>
            <w:tcBorders>
              <w:top w:val="nil"/>
              <w:left w:val="nil"/>
              <w:bottom w:val="single" w:sz="4" w:space="0" w:color="auto"/>
              <w:right w:val="single" w:sz="4" w:space="0" w:color="auto"/>
            </w:tcBorders>
            <w:shd w:val="clear" w:color="000000" w:fill="FFFFFF"/>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0.59</w:t>
            </w:r>
          </w:p>
        </w:tc>
        <w:tc>
          <w:tcPr>
            <w:tcW w:w="1170" w:type="dxa"/>
            <w:tcBorders>
              <w:top w:val="nil"/>
              <w:left w:val="nil"/>
              <w:bottom w:val="single" w:sz="4" w:space="0" w:color="auto"/>
              <w:right w:val="single" w:sz="4" w:space="0" w:color="auto"/>
            </w:tcBorders>
            <w:shd w:val="clear" w:color="000000" w:fill="FFFFFF"/>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1.5</w:t>
            </w:r>
          </w:p>
        </w:tc>
        <w:tc>
          <w:tcPr>
            <w:tcW w:w="1170" w:type="dxa"/>
            <w:tcBorders>
              <w:top w:val="nil"/>
              <w:left w:val="nil"/>
              <w:bottom w:val="single" w:sz="4" w:space="0" w:color="auto"/>
              <w:right w:val="single" w:sz="4" w:space="0" w:color="auto"/>
            </w:tcBorders>
            <w:shd w:val="clear" w:color="000000" w:fill="FFFFFF"/>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9.6</w:t>
            </w:r>
          </w:p>
        </w:tc>
        <w:tc>
          <w:tcPr>
            <w:tcW w:w="1170" w:type="dxa"/>
            <w:tcBorders>
              <w:top w:val="nil"/>
              <w:left w:val="nil"/>
              <w:bottom w:val="single" w:sz="4" w:space="0" w:color="auto"/>
              <w:right w:val="single" w:sz="4" w:space="0" w:color="auto"/>
            </w:tcBorders>
            <w:shd w:val="clear" w:color="auto" w:fill="auto"/>
            <w:noWrap/>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0.001</w:t>
            </w:r>
          </w:p>
        </w:tc>
        <w:tc>
          <w:tcPr>
            <w:tcW w:w="1170" w:type="dxa"/>
            <w:tcBorders>
              <w:top w:val="nil"/>
              <w:left w:val="nil"/>
              <w:bottom w:val="single" w:sz="4" w:space="0" w:color="auto"/>
              <w:right w:val="single" w:sz="4" w:space="0" w:color="auto"/>
            </w:tcBorders>
            <w:shd w:val="clear" w:color="auto" w:fill="auto"/>
            <w:noWrap/>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0.001</w:t>
            </w:r>
          </w:p>
        </w:tc>
      </w:tr>
      <w:tr w:rsidR="00724BCF" w:rsidRPr="00724BCF" w:rsidTr="00790D0A">
        <w:trPr>
          <w:trHeight w:val="300"/>
        </w:trPr>
        <w:tc>
          <w:tcPr>
            <w:tcW w:w="1362" w:type="dxa"/>
            <w:tcBorders>
              <w:top w:val="nil"/>
              <w:left w:val="single" w:sz="4" w:space="0" w:color="auto"/>
              <w:bottom w:val="single" w:sz="4" w:space="0" w:color="auto"/>
              <w:right w:val="single" w:sz="4" w:space="0" w:color="auto"/>
            </w:tcBorders>
            <w:shd w:val="clear" w:color="auto" w:fill="auto"/>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2010</w:t>
            </w:r>
          </w:p>
        </w:tc>
        <w:tc>
          <w:tcPr>
            <w:tcW w:w="12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35.2</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147.8</w:t>
            </w:r>
          </w:p>
        </w:tc>
        <w:tc>
          <w:tcPr>
            <w:tcW w:w="13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0.67</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1.9</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17.8</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0.002</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0.025</w:t>
            </w:r>
          </w:p>
        </w:tc>
      </w:tr>
      <w:tr w:rsidR="00724BCF" w:rsidRPr="00724BCF" w:rsidTr="00790D0A">
        <w:trPr>
          <w:trHeight w:val="300"/>
        </w:trPr>
        <w:tc>
          <w:tcPr>
            <w:tcW w:w="1362" w:type="dxa"/>
            <w:tcBorders>
              <w:top w:val="nil"/>
              <w:left w:val="single" w:sz="4" w:space="0" w:color="auto"/>
              <w:bottom w:val="single" w:sz="4" w:space="0" w:color="auto"/>
              <w:right w:val="single" w:sz="4" w:space="0" w:color="auto"/>
            </w:tcBorders>
            <w:shd w:val="clear" w:color="000000" w:fill="FFFFFF"/>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2011</w:t>
            </w:r>
          </w:p>
        </w:tc>
        <w:tc>
          <w:tcPr>
            <w:tcW w:w="12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37.1</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195.6</w:t>
            </w:r>
          </w:p>
        </w:tc>
        <w:tc>
          <w:tcPr>
            <w:tcW w:w="13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0.68</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6.9</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17.8</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0.002</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724BCF" w:rsidRPr="00724BCF" w:rsidRDefault="00724BCF" w:rsidP="00790D0A">
            <w:pPr>
              <w:spacing w:before="40" w:after="40"/>
              <w:jc w:val="center"/>
              <w:rPr>
                <w:color w:val="000000"/>
                <w:sz w:val="22"/>
                <w:szCs w:val="22"/>
              </w:rPr>
            </w:pPr>
            <w:r w:rsidRPr="00724BCF">
              <w:rPr>
                <w:color w:val="000000"/>
                <w:sz w:val="22"/>
                <w:szCs w:val="22"/>
              </w:rPr>
              <w:t>0.025</w:t>
            </w:r>
          </w:p>
        </w:tc>
      </w:tr>
      <w:tr w:rsidR="00D4492F" w:rsidRPr="00724BCF" w:rsidTr="00790D0A">
        <w:trPr>
          <w:trHeight w:val="300"/>
        </w:trPr>
        <w:tc>
          <w:tcPr>
            <w:tcW w:w="13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4492F" w:rsidRPr="00775A58" w:rsidRDefault="00D4492F" w:rsidP="00790D0A">
            <w:pPr>
              <w:spacing w:before="40" w:after="40"/>
              <w:jc w:val="center"/>
              <w:rPr>
                <w:b/>
                <w:color w:val="000000"/>
                <w:sz w:val="22"/>
                <w:szCs w:val="22"/>
                <w:vertAlign w:val="superscript"/>
              </w:rPr>
            </w:pPr>
            <w:r>
              <w:rPr>
                <w:color w:val="000000"/>
                <w:sz w:val="22"/>
                <w:szCs w:val="22"/>
              </w:rPr>
              <w:t>Baseline</w:t>
            </w:r>
            <w:r w:rsidR="00775A58">
              <w:rPr>
                <w:color w:val="000000"/>
                <w:sz w:val="22"/>
                <w:szCs w:val="22"/>
              </w:rPr>
              <w:t xml:space="preserve"> </w:t>
            </w:r>
            <w:r w:rsidR="00775A58">
              <w:rPr>
                <w:b/>
                <w:color w:val="000000"/>
                <w:sz w:val="22"/>
                <w:szCs w:val="22"/>
                <w:vertAlign w:val="superscript"/>
              </w:rPr>
              <w:t>1</w:t>
            </w:r>
          </w:p>
        </w:tc>
        <w:tc>
          <w:tcPr>
            <w:tcW w:w="12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4492F" w:rsidRPr="00724BCF" w:rsidRDefault="00D4492F" w:rsidP="00790D0A">
            <w:pPr>
              <w:spacing w:before="40" w:after="40"/>
              <w:jc w:val="center"/>
              <w:rPr>
                <w:color w:val="000000"/>
                <w:sz w:val="22"/>
                <w:szCs w:val="22"/>
              </w:rPr>
            </w:pPr>
            <w:r>
              <w:rPr>
                <w:color w:val="000000"/>
                <w:sz w:val="22"/>
                <w:szCs w:val="22"/>
              </w:rPr>
              <w:t>36.2</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4492F" w:rsidRPr="00724BCF" w:rsidRDefault="00D4492F" w:rsidP="00790D0A">
            <w:pPr>
              <w:spacing w:before="40" w:after="40"/>
              <w:jc w:val="center"/>
              <w:rPr>
                <w:color w:val="000000"/>
                <w:sz w:val="22"/>
                <w:szCs w:val="22"/>
              </w:rPr>
            </w:pPr>
            <w:r>
              <w:rPr>
                <w:color w:val="000000"/>
                <w:sz w:val="22"/>
                <w:szCs w:val="22"/>
              </w:rPr>
              <w:t>171.7</w:t>
            </w:r>
          </w:p>
        </w:tc>
        <w:tc>
          <w:tcPr>
            <w:tcW w:w="13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4492F" w:rsidRPr="00724BCF" w:rsidRDefault="00FC2B36" w:rsidP="00790D0A">
            <w:pPr>
              <w:spacing w:before="40" w:after="40"/>
              <w:jc w:val="center"/>
              <w:rPr>
                <w:color w:val="000000"/>
                <w:sz w:val="22"/>
                <w:szCs w:val="22"/>
              </w:rPr>
            </w:pPr>
            <w:r>
              <w:rPr>
                <w:color w:val="000000"/>
                <w:sz w:val="22"/>
                <w:szCs w:val="22"/>
              </w:rPr>
              <w:t>0.68</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4492F" w:rsidRPr="00724BCF" w:rsidRDefault="00FC2B36" w:rsidP="00790D0A">
            <w:pPr>
              <w:spacing w:before="40" w:after="40"/>
              <w:jc w:val="center"/>
              <w:rPr>
                <w:color w:val="000000"/>
                <w:sz w:val="22"/>
                <w:szCs w:val="22"/>
              </w:rPr>
            </w:pPr>
            <w:r>
              <w:rPr>
                <w:color w:val="000000"/>
                <w:sz w:val="22"/>
                <w:szCs w:val="22"/>
              </w:rPr>
              <w:t>4.4</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4492F" w:rsidRPr="00724BCF" w:rsidRDefault="00FC2B36" w:rsidP="00790D0A">
            <w:pPr>
              <w:spacing w:before="40" w:after="40"/>
              <w:jc w:val="center"/>
              <w:rPr>
                <w:color w:val="000000"/>
                <w:sz w:val="22"/>
                <w:szCs w:val="22"/>
              </w:rPr>
            </w:pPr>
            <w:r>
              <w:rPr>
                <w:color w:val="000000"/>
                <w:sz w:val="22"/>
                <w:szCs w:val="22"/>
              </w:rPr>
              <w:t>17.8</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D4492F" w:rsidRPr="00724BCF" w:rsidRDefault="00FC2B36" w:rsidP="00790D0A">
            <w:pPr>
              <w:spacing w:before="40" w:after="40"/>
              <w:jc w:val="center"/>
              <w:rPr>
                <w:color w:val="000000"/>
                <w:sz w:val="22"/>
                <w:szCs w:val="22"/>
              </w:rPr>
            </w:pPr>
            <w:r>
              <w:rPr>
                <w:color w:val="000000"/>
                <w:sz w:val="22"/>
                <w:szCs w:val="22"/>
              </w:rPr>
              <w:t>0.002</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D4492F" w:rsidRPr="00724BCF" w:rsidRDefault="00FC2B36" w:rsidP="00790D0A">
            <w:pPr>
              <w:spacing w:before="40" w:after="40"/>
              <w:jc w:val="center"/>
              <w:rPr>
                <w:color w:val="000000"/>
                <w:sz w:val="22"/>
                <w:szCs w:val="22"/>
              </w:rPr>
            </w:pPr>
            <w:r>
              <w:rPr>
                <w:color w:val="000000"/>
                <w:sz w:val="22"/>
                <w:szCs w:val="22"/>
              </w:rPr>
              <w:t>0.025</w:t>
            </w:r>
          </w:p>
        </w:tc>
      </w:tr>
      <w:tr w:rsidR="00775A58" w:rsidRPr="00724BCF" w:rsidTr="00790D0A">
        <w:trPr>
          <w:trHeight w:val="300"/>
        </w:trPr>
        <w:tc>
          <w:tcPr>
            <w:tcW w:w="1362" w:type="dxa"/>
            <w:tcBorders>
              <w:top w:val="nil"/>
              <w:left w:val="single" w:sz="4" w:space="0" w:color="auto"/>
              <w:bottom w:val="single" w:sz="4" w:space="0" w:color="auto"/>
              <w:right w:val="single" w:sz="4" w:space="0" w:color="auto"/>
            </w:tcBorders>
            <w:shd w:val="clear" w:color="auto" w:fill="auto"/>
            <w:vAlign w:val="center"/>
            <w:hideMark/>
          </w:tcPr>
          <w:p w:rsidR="00775A58" w:rsidRPr="00775A58" w:rsidRDefault="00775A58" w:rsidP="00790D0A">
            <w:pPr>
              <w:spacing w:before="40" w:after="40"/>
              <w:jc w:val="center"/>
              <w:rPr>
                <w:b/>
                <w:color w:val="000000"/>
                <w:sz w:val="22"/>
                <w:szCs w:val="22"/>
                <w:vertAlign w:val="superscript"/>
              </w:rPr>
            </w:pPr>
            <w:r w:rsidRPr="00724BCF">
              <w:rPr>
                <w:color w:val="000000"/>
                <w:sz w:val="22"/>
                <w:szCs w:val="22"/>
              </w:rPr>
              <w:t>PTE</w:t>
            </w:r>
            <w:r>
              <w:rPr>
                <w:color w:val="000000"/>
                <w:sz w:val="22"/>
                <w:szCs w:val="22"/>
              </w:rPr>
              <w:t xml:space="preserve"> </w:t>
            </w:r>
            <w:r>
              <w:rPr>
                <w:b/>
                <w:color w:val="000000"/>
                <w:sz w:val="22"/>
                <w:szCs w:val="22"/>
                <w:vertAlign w:val="superscript"/>
              </w:rPr>
              <w:t>2</w:t>
            </w:r>
          </w:p>
        </w:tc>
        <w:tc>
          <w:tcPr>
            <w:tcW w:w="1260" w:type="dxa"/>
            <w:tcBorders>
              <w:top w:val="single" w:sz="4" w:space="0" w:color="auto"/>
              <w:left w:val="nil"/>
              <w:bottom w:val="single" w:sz="4" w:space="0" w:color="auto"/>
              <w:right w:val="single" w:sz="4" w:space="0" w:color="auto"/>
            </w:tcBorders>
            <w:shd w:val="clear" w:color="auto" w:fill="auto"/>
            <w:vAlign w:val="center"/>
            <w:hideMark/>
          </w:tcPr>
          <w:p w:rsidR="00775A58" w:rsidRPr="00724BCF" w:rsidRDefault="00775A58" w:rsidP="00790D0A">
            <w:pPr>
              <w:spacing w:before="40" w:after="40"/>
              <w:jc w:val="center"/>
              <w:rPr>
                <w:color w:val="000000"/>
                <w:sz w:val="22"/>
                <w:szCs w:val="22"/>
              </w:rPr>
            </w:pPr>
            <w:r w:rsidRPr="00724BCF">
              <w:rPr>
                <w:color w:val="000000"/>
                <w:sz w:val="22"/>
                <w:szCs w:val="22"/>
              </w:rPr>
              <w:t>113.4</w:t>
            </w:r>
          </w:p>
        </w:tc>
        <w:tc>
          <w:tcPr>
            <w:tcW w:w="1170" w:type="dxa"/>
            <w:tcBorders>
              <w:top w:val="single" w:sz="4" w:space="0" w:color="auto"/>
              <w:left w:val="nil"/>
              <w:bottom w:val="single" w:sz="4" w:space="0" w:color="auto"/>
              <w:right w:val="single" w:sz="4" w:space="0" w:color="auto"/>
            </w:tcBorders>
            <w:shd w:val="clear" w:color="auto" w:fill="auto"/>
            <w:vAlign w:val="center"/>
            <w:hideMark/>
          </w:tcPr>
          <w:p w:rsidR="00775A58" w:rsidRPr="00724BCF" w:rsidRDefault="00775A58" w:rsidP="00790D0A">
            <w:pPr>
              <w:spacing w:before="40" w:after="40"/>
              <w:jc w:val="center"/>
              <w:rPr>
                <w:color w:val="000000"/>
                <w:sz w:val="22"/>
                <w:szCs w:val="22"/>
              </w:rPr>
            </w:pPr>
            <w:r w:rsidRPr="00724BCF">
              <w:rPr>
                <w:color w:val="000000"/>
                <w:sz w:val="22"/>
                <w:szCs w:val="22"/>
              </w:rPr>
              <w:t>209.8</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rsidR="00775A58" w:rsidRPr="00724BCF" w:rsidRDefault="00775A58" w:rsidP="00790D0A">
            <w:pPr>
              <w:spacing w:before="40" w:after="40"/>
              <w:jc w:val="center"/>
              <w:rPr>
                <w:color w:val="000000"/>
                <w:sz w:val="22"/>
                <w:szCs w:val="22"/>
              </w:rPr>
            </w:pPr>
            <w:r w:rsidRPr="00724BCF">
              <w:rPr>
                <w:color w:val="000000"/>
                <w:sz w:val="22"/>
                <w:szCs w:val="22"/>
              </w:rPr>
              <w:t>14.5</w:t>
            </w:r>
          </w:p>
        </w:tc>
        <w:tc>
          <w:tcPr>
            <w:tcW w:w="1170" w:type="dxa"/>
            <w:tcBorders>
              <w:top w:val="single" w:sz="4" w:space="0" w:color="auto"/>
              <w:left w:val="nil"/>
              <w:bottom w:val="single" w:sz="4" w:space="0" w:color="auto"/>
              <w:right w:val="single" w:sz="4" w:space="0" w:color="auto"/>
            </w:tcBorders>
            <w:shd w:val="clear" w:color="auto" w:fill="auto"/>
            <w:vAlign w:val="center"/>
            <w:hideMark/>
          </w:tcPr>
          <w:p w:rsidR="00775A58" w:rsidRPr="00724BCF" w:rsidRDefault="00775A58" w:rsidP="00790D0A">
            <w:pPr>
              <w:spacing w:before="40" w:after="40"/>
              <w:jc w:val="center"/>
              <w:rPr>
                <w:color w:val="000000"/>
                <w:sz w:val="22"/>
                <w:szCs w:val="22"/>
              </w:rPr>
            </w:pPr>
            <w:r w:rsidRPr="00724BCF">
              <w:rPr>
                <w:color w:val="000000"/>
                <w:sz w:val="22"/>
                <w:szCs w:val="22"/>
              </w:rPr>
              <w:t>84.1</w:t>
            </w:r>
          </w:p>
        </w:tc>
        <w:tc>
          <w:tcPr>
            <w:tcW w:w="1170" w:type="dxa"/>
            <w:tcBorders>
              <w:top w:val="single" w:sz="4" w:space="0" w:color="auto"/>
              <w:left w:val="nil"/>
              <w:bottom w:val="single" w:sz="4" w:space="0" w:color="auto"/>
              <w:right w:val="single" w:sz="4" w:space="0" w:color="auto"/>
            </w:tcBorders>
            <w:shd w:val="clear" w:color="auto" w:fill="auto"/>
            <w:vAlign w:val="center"/>
            <w:hideMark/>
          </w:tcPr>
          <w:p w:rsidR="00775A58" w:rsidRPr="00724BCF" w:rsidRDefault="00775A58" w:rsidP="00790D0A">
            <w:pPr>
              <w:spacing w:before="40" w:after="40"/>
              <w:jc w:val="center"/>
              <w:rPr>
                <w:color w:val="000000"/>
                <w:sz w:val="22"/>
                <w:szCs w:val="22"/>
              </w:rPr>
            </w:pPr>
            <w:r w:rsidRPr="00724BCF">
              <w:rPr>
                <w:color w:val="000000"/>
                <w:sz w:val="22"/>
                <w:szCs w:val="22"/>
              </w:rPr>
              <w:t>111.3</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rsidR="00775A58" w:rsidRPr="00724BCF" w:rsidRDefault="00775A58" w:rsidP="00790D0A">
            <w:pPr>
              <w:spacing w:before="40" w:after="40"/>
              <w:jc w:val="center"/>
              <w:rPr>
                <w:color w:val="000000"/>
                <w:sz w:val="22"/>
                <w:szCs w:val="22"/>
              </w:rPr>
            </w:pPr>
            <w:r w:rsidRPr="00724BCF">
              <w:rPr>
                <w:color w:val="000000"/>
                <w:sz w:val="22"/>
                <w:szCs w:val="22"/>
              </w:rPr>
              <w:t>0.170</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rsidR="00775A58" w:rsidRPr="00724BCF" w:rsidRDefault="00775A58" w:rsidP="00790D0A">
            <w:pPr>
              <w:spacing w:before="40" w:after="40"/>
              <w:jc w:val="center"/>
              <w:rPr>
                <w:color w:val="000000"/>
                <w:sz w:val="22"/>
                <w:szCs w:val="22"/>
              </w:rPr>
            </w:pPr>
            <w:r w:rsidRPr="00724BCF">
              <w:rPr>
                <w:color w:val="000000"/>
                <w:sz w:val="22"/>
                <w:szCs w:val="22"/>
              </w:rPr>
              <w:t>0.100</w:t>
            </w:r>
          </w:p>
        </w:tc>
      </w:tr>
      <w:tr w:rsidR="00775A58" w:rsidRPr="00724BCF" w:rsidTr="00101937">
        <w:trPr>
          <w:trHeight w:val="300"/>
        </w:trPr>
        <w:tc>
          <w:tcPr>
            <w:tcW w:w="9822" w:type="dxa"/>
            <w:gridSpan w:val="8"/>
            <w:tcBorders>
              <w:top w:val="nil"/>
              <w:left w:val="single" w:sz="4" w:space="0" w:color="auto"/>
              <w:bottom w:val="single" w:sz="4" w:space="0" w:color="auto"/>
              <w:right w:val="single" w:sz="4" w:space="0" w:color="auto"/>
            </w:tcBorders>
            <w:shd w:val="clear" w:color="000000" w:fill="FFFFFF"/>
            <w:vAlign w:val="bottom"/>
            <w:hideMark/>
          </w:tcPr>
          <w:p w:rsidR="00775A58" w:rsidRDefault="00775A58" w:rsidP="00790D0A">
            <w:pPr>
              <w:pStyle w:val="ListParagraph"/>
              <w:numPr>
                <w:ilvl w:val="0"/>
                <w:numId w:val="16"/>
              </w:numPr>
              <w:spacing w:before="20" w:after="20"/>
              <w:ind w:left="360"/>
              <w:contextualSpacing w:val="0"/>
              <w:rPr>
                <w:color w:val="000000"/>
              </w:rPr>
            </w:pPr>
            <w:r w:rsidRPr="00775A58">
              <w:rPr>
                <w:color w:val="000000"/>
              </w:rPr>
              <w:t>Baseline actual emissions were calculated as the average emissions of the two highest consecutive years</w:t>
            </w:r>
            <w:r>
              <w:rPr>
                <w:color w:val="000000"/>
              </w:rPr>
              <w:t xml:space="preserve"> (shaded)</w:t>
            </w:r>
            <w:r w:rsidRPr="00775A58">
              <w:rPr>
                <w:color w:val="000000"/>
              </w:rPr>
              <w:t>.</w:t>
            </w:r>
          </w:p>
          <w:p w:rsidR="00775A58" w:rsidRPr="00775A58" w:rsidRDefault="00775A58" w:rsidP="00373374">
            <w:pPr>
              <w:pStyle w:val="ListParagraph"/>
              <w:numPr>
                <w:ilvl w:val="0"/>
                <w:numId w:val="16"/>
              </w:numPr>
              <w:spacing w:after="20"/>
              <w:ind w:left="360"/>
              <w:contextualSpacing w:val="0"/>
              <w:rPr>
                <w:color w:val="000000"/>
              </w:rPr>
            </w:pPr>
            <w:r>
              <w:rPr>
                <w:color w:val="000000"/>
              </w:rPr>
              <w:t xml:space="preserve">Potential-to-emit </w:t>
            </w:r>
            <w:r w:rsidR="00575ECC">
              <w:rPr>
                <w:color w:val="000000"/>
              </w:rPr>
              <w:t xml:space="preserve">estimates are not limits and </w:t>
            </w:r>
            <w:r w:rsidR="00DE4AD7">
              <w:rPr>
                <w:color w:val="000000"/>
              </w:rPr>
              <w:t xml:space="preserve">are </w:t>
            </w:r>
            <w:r w:rsidR="00373374">
              <w:rPr>
                <w:color w:val="000000"/>
              </w:rPr>
              <w:t xml:space="preserve">contained in </w:t>
            </w:r>
            <w:r w:rsidR="00575ECC">
              <w:rPr>
                <w:color w:val="000000"/>
              </w:rPr>
              <w:t>Table</w:t>
            </w:r>
            <w:r w:rsidR="00DE4AD7">
              <w:rPr>
                <w:color w:val="000000"/>
              </w:rPr>
              <w:t xml:space="preserve"> 1</w:t>
            </w:r>
            <w:r w:rsidR="00575ECC">
              <w:rPr>
                <w:color w:val="000000"/>
              </w:rPr>
              <w:t xml:space="preserve"> </w:t>
            </w:r>
            <w:r w:rsidR="00373374">
              <w:rPr>
                <w:color w:val="000000"/>
              </w:rPr>
              <w:t xml:space="preserve">of the </w:t>
            </w:r>
            <w:r w:rsidR="00575ECC">
              <w:rPr>
                <w:color w:val="000000"/>
              </w:rPr>
              <w:t xml:space="preserve">Facility Title V Air Permit </w:t>
            </w:r>
            <w:r w:rsidR="00DE4AD7">
              <w:rPr>
                <w:color w:val="000000"/>
              </w:rPr>
              <w:t>No. 0570261-014-AV.</w:t>
            </w:r>
          </w:p>
        </w:tc>
      </w:tr>
    </w:tbl>
    <w:p w:rsidR="009D0A83" w:rsidRDefault="009D0A83">
      <w:pPr>
        <w:rPr>
          <w:b/>
          <w:i/>
          <w:sz w:val="22"/>
          <w:szCs w:val="22"/>
        </w:rPr>
      </w:pPr>
      <w:r>
        <w:rPr>
          <w:b/>
          <w:i/>
          <w:sz w:val="22"/>
          <w:szCs w:val="22"/>
        </w:rPr>
        <w:br w:type="page"/>
      </w:r>
    </w:p>
    <w:p w:rsidR="001558A3" w:rsidRDefault="001558A3" w:rsidP="001558A3">
      <w:pPr>
        <w:widowControl w:val="0"/>
        <w:spacing w:before="120" w:after="120"/>
        <w:rPr>
          <w:b/>
          <w:i/>
          <w:sz w:val="22"/>
          <w:szCs w:val="22"/>
        </w:rPr>
      </w:pPr>
      <w:proofErr w:type="spellStart"/>
      <w:r>
        <w:rPr>
          <w:b/>
          <w:i/>
          <w:sz w:val="22"/>
          <w:szCs w:val="22"/>
        </w:rPr>
        <w:lastRenderedPageBreak/>
        <w:t>Biosolids</w:t>
      </w:r>
      <w:proofErr w:type="spellEnd"/>
      <w:r>
        <w:rPr>
          <w:b/>
          <w:i/>
          <w:sz w:val="22"/>
          <w:szCs w:val="22"/>
        </w:rPr>
        <w:t xml:space="preserve"> Test Burn Results from Lee County</w:t>
      </w:r>
    </w:p>
    <w:p w:rsidR="001558A3" w:rsidRDefault="001558A3" w:rsidP="001558A3">
      <w:pPr>
        <w:widowControl w:val="0"/>
        <w:tabs>
          <w:tab w:val="left" w:pos="450"/>
        </w:tabs>
        <w:spacing w:before="120" w:after="120"/>
        <w:ind w:left="14"/>
        <w:rPr>
          <w:sz w:val="22"/>
          <w:szCs w:val="22"/>
        </w:rPr>
      </w:pPr>
      <w:r>
        <w:rPr>
          <w:sz w:val="22"/>
          <w:szCs w:val="22"/>
        </w:rPr>
        <w:t xml:space="preserve">In May 2012, emission testing was conducted at the Lee County RRF when combusting approximately 5% </w:t>
      </w:r>
      <w:proofErr w:type="spellStart"/>
      <w:r>
        <w:rPr>
          <w:sz w:val="22"/>
          <w:szCs w:val="22"/>
        </w:rPr>
        <w:t>biosolids</w:t>
      </w:r>
      <w:proofErr w:type="spellEnd"/>
      <w:r>
        <w:rPr>
          <w:sz w:val="22"/>
          <w:szCs w:val="22"/>
        </w:rPr>
        <w:t xml:space="preserve">.  The facility is of similar size to the Hillsborough County RRF.  The testing was a requirement of a permit (0710119-009-AC) that allowed use of what the Department considered to be a </w:t>
      </w:r>
      <w:proofErr w:type="spellStart"/>
      <w:r>
        <w:rPr>
          <w:sz w:val="22"/>
          <w:szCs w:val="22"/>
        </w:rPr>
        <w:t>deminimus</w:t>
      </w:r>
      <w:proofErr w:type="spellEnd"/>
      <w:r>
        <w:rPr>
          <w:sz w:val="22"/>
          <w:szCs w:val="22"/>
        </w:rPr>
        <w:t xml:space="preserve"> amount of </w:t>
      </w:r>
      <w:proofErr w:type="spellStart"/>
      <w:r>
        <w:rPr>
          <w:sz w:val="22"/>
          <w:szCs w:val="22"/>
        </w:rPr>
        <w:t>biosolids</w:t>
      </w:r>
      <w:proofErr w:type="spellEnd"/>
      <w:r>
        <w:rPr>
          <w:sz w:val="22"/>
          <w:szCs w:val="22"/>
        </w:rPr>
        <w:t xml:space="preserve"> with respect to the overall characteristics of the MSW used at the facility or the heating value of the MSW used at the facility (approximately a 4% impact on heating value).</w:t>
      </w:r>
    </w:p>
    <w:p w:rsidR="001558A3" w:rsidRDefault="001558A3" w:rsidP="001558A3">
      <w:pPr>
        <w:widowControl w:val="0"/>
        <w:tabs>
          <w:tab w:val="left" w:pos="450"/>
        </w:tabs>
        <w:spacing w:before="120" w:after="120"/>
        <w:ind w:left="14"/>
        <w:rPr>
          <w:sz w:val="22"/>
          <w:szCs w:val="22"/>
        </w:rPr>
      </w:pPr>
      <w:r>
        <w:rPr>
          <w:sz w:val="22"/>
          <w:szCs w:val="22"/>
        </w:rPr>
        <w:t xml:space="preserve">Using the existing air pollution control equipment (GCP/SDA/FF/ACI/SNCR), it was possible to burn 5% </w:t>
      </w:r>
      <w:proofErr w:type="spellStart"/>
      <w:r>
        <w:rPr>
          <w:sz w:val="22"/>
          <w:szCs w:val="22"/>
        </w:rPr>
        <w:t>biosolids</w:t>
      </w:r>
      <w:proofErr w:type="spellEnd"/>
      <w:r>
        <w:rPr>
          <w:sz w:val="22"/>
          <w:szCs w:val="22"/>
        </w:rPr>
        <w:t xml:space="preserve"> over a period of 13 hours without appreciable changes in the key pollutants compared with the required annual emission testing conducted earlier in the year (January 2012).  The results are summarized in Table</w:t>
      </w:r>
      <w:r w:rsidR="00373374">
        <w:rPr>
          <w:sz w:val="22"/>
          <w:szCs w:val="22"/>
        </w:rPr>
        <w:t xml:space="preserve"> 6</w:t>
      </w:r>
      <w:r>
        <w:rPr>
          <w:sz w:val="22"/>
          <w:szCs w:val="22"/>
        </w:rPr>
        <w:t>.</w:t>
      </w:r>
    </w:p>
    <w:p w:rsidR="001558A3" w:rsidRPr="00504D07" w:rsidRDefault="001558A3" w:rsidP="001558A3">
      <w:pPr>
        <w:pStyle w:val="LFTBody"/>
        <w:spacing w:after="60"/>
        <w:rPr>
          <w:rFonts w:ascii="Times New Roman" w:hAnsi="Times New Roman" w:cs="Times New Roman"/>
          <w:b/>
          <w:sz w:val="22"/>
        </w:rPr>
      </w:pPr>
      <w:r>
        <w:rPr>
          <w:rFonts w:ascii="Times New Roman" w:hAnsi="Times New Roman" w:cs="Times New Roman"/>
          <w:b/>
          <w:sz w:val="22"/>
        </w:rPr>
        <w:t>Table</w:t>
      </w:r>
      <w:r w:rsidRPr="00504D07">
        <w:rPr>
          <w:rFonts w:ascii="Times New Roman" w:hAnsi="Times New Roman" w:cs="Times New Roman"/>
          <w:b/>
          <w:sz w:val="22"/>
        </w:rPr>
        <w:t xml:space="preserve"> </w:t>
      </w:r>
      <w:r>
        <w:rPr>
          <w:rFonts w:ascii="Times New Roman" w:hAnsi="Times New Roman" w:cs="Times New Roman"/>
          <w:b/>
          <w:sz w:val="22"/>
        </w:rPr>
        <w:t>6</w:t>
      </w:r>
      <w:r w:rsidRPr="00504D07">
        <w:rPr>
          <w:rFonts w:ascii="Times New Roman" w:hAnsi="Times New Roman" w:cs="Times New Roman"/>
          <w:b/>
          <w:sz w:val="22"/>
        </w:rPr>
        <w:t xml:space="preserve"> - Test Burn </w:t>
      </w:r>
      <w:r>
        <w:rPr>
          <w:rFonts w:ascii="Times New Roman" w:hAnsi="Times New Roman" w:cs="Times New Roman"/>
          <w:b/>
          <w:sz w:val="22"/>
        </w:rPr>
        <w:t xml:space="preserve">Analysis </w:t>
      </w:r>
      <w:r w:rsidRPr="00504D07">
        <w:rPr>
          <w:rFonts w:ascii="Times New Roman" w:hAnsi="Times New Roman" w:cs="Times New Roman"/>
          <w:b/>
          <w:sz w:val="22"/>
        </w:rPr>
        <w:t>at Lee County RRF</w:t>
      </w:r>
      <w:r>
        <w:rPr>
          <w:rFonts w:ascii="Times New Roman" w:hAnsi="Times New Roman" w:cs="Times New Roman"/>
          <w:b/>
          <w:sz w:val="22"/>
        </w:rPr>
        <w:t xml:space="preserve"> compared with Annual Testing</w:t>
      </w:r>
    </w:p>
    <w:tbl>
      <w:tblPr>
        <w:tblStyle w:val="TableGrid"/>
        <w:tblW w:w="10080" w:type="dxa"/>
        <w:tblInd w:w="108" w:type="dxa"/>
        <w:tblLayout w:type="fixed"/>
        <w:tblLook w:val="04A0"/>
      </w:tblPr>
      <w:tblGrid>
        <w:gridCol w:w="1620"/>
        <w:gridCol w:w="1890"/>
        <w:gridCol w:w="2160"/>
        <w:gridCol w:w="2340"/>
        <w:gridCol w:w="2070"/>
      </w:tblGrid>
      <w:tr w:rsidR="001558A3" w:rsidRPr="00504D07" w:rsidTr="005E2CAA">
        <w:trPr>
          <w:trHeight w:val="564"/>
        </w:trPr>
        <w:tc>
          <w:tcPr>
            <w:tcW w:w="1620" w:type="dxa"/>
            <w:noWrap/>
            <w:vAlign w:val="center"/>
            <w:hideMark/>
          </w:tcPr>
          <w:p w:rsidR="001558A3" w:rsidRPr="0096184A" w:rsidRDefault="001558A3" w:rsidP="001558A3">
            <w:pPr>
              <w:pStyle w:val="LFTTableheader2"/>
              <w:spacing w:before="60"/>
              <w:jc w:val="center"/>
              <w:rPr>
                <w:rFonts w:ascii="Times New Roman" w:hAnsi="Times New Roman" w:cs="Times New Roman"/>
                <w:sz w:val="21"/>
                <w:szCs w:val="21"/>
              </w:rPr>
            </w:pPr>
            <w:r w:rsidRPr="0096184A">
              <w:rPr>
                <w:rFonts w:ascii="Times New Roman" w:hAnsi="Times New Roman" w:cs="Times New Roman"/>
                <w:sz w:val="21"/>
                <w:szCs w:val="21"/>
              </w:rPr>
              <w:t>Parameter</w:t>
            </w:r>
          </w:p>
        </w:tc>
        <w:tc>
          <w:tcPr>
            <w:tcW w:w="1890" w:type="dxa"/>
            <w:noWrap/>
            <w:vAlign w:val="center"/>
            <w:hideMark/>
          </w:tcPr>
          <w:p w:rsidR="001558A3" w:rsidRPr="005E2CAA" w:rsidRDefault="001558A3" w:rsidP="001558A3">
            <w:pPr>
              <w:pStyle w:val="LFTTableheader2"/>
              <w:spacing w:before="60"/>
              <w:jc w:val="center"/>
              <w:rPr>
                <w:rFonts w:ascii="Times New Roman" w:hAnsi="Times New Roman" w:cs="Times New Roman"/>
                <w:sz w:val="21"/>
                <w:szCs w:val="21"/>
                <w:vertAlign w:val="superscript"/>
              </w:rPr>
            </w:pPr>
            <w:r w:rsidRPr="0096184A">
              <w:rPr>
                <w:rFonts w:ascii="Times New Roman" w:hAnsi="Times New Roman" w:cs="Times New Roman"/>
                <w:sz w:val="21"/>
                <w:szCs w:val="21"/>
              </w:rPr>
              <w:t>Units</w:t>
            </w:r>
            <w:r w:rsidR="005E2CAA">
              <w:rPr>
                <w:rFonts w:ascii="Times New Roman" w:hAnsi="Times New Roman" w:cs="Times New Roman"/>
                <w:sz w:val="21"/>
                <w:szCs w:val="21"/>
              </w:rPr>
              <w:t xml:space="preserve"> </w:t>
            </w:r>
            <w:r w:rsidR="005E2CAA">
              <w:rPr>
                <w:rFonts w:ascii="Times New Roman" w:hAnsi="Times New Roman" w:cs="Times New Roman"/>
                <w:sz w:val="21"/>
                <w:szCs w:val="21"/>
                <w:vertAlign w:val="superscript"/>
              </w:rPr>
              <w:t>1, 2</w:t>
            </w:r>
          </w:p>
        </w:tc>
        <w:tc>
          <w:tcPr>
            <w:tcW w:w="2160" w:type="dxa"/>
            <w:vAlign w:val="center"/>
            <w:hideMark/>
          </w:tcPr>
          <w:p w:rsidR="001558A3" w:rsidRPr="0096184A" w:rsidRDefault="001558A3" w:rsidP="001558A3">
            <w:pPr>
              <w:pStyle w:val="LFTTableheader2"/>
              <w:spacing w:before="60"/>
              <w:jc w:val="center"/>
              <w:rPr>
                <w:rFonts w:ascii="Times New Roman" w:hAnsi="Times New Roman" w:cs="Times New Roman"/>
                <w:sz w:val="21"/>
                <w:szCs w:val="21"/>
              </w:rPr>
            </w:pPr>
            <w:r w:rsidRPr="0096184A">
              <w:rPr>
                <w:rFonts w:ascii="Times New Roman" w:hAnsi="Times New Roman" w:cs="Times New Roman"/>
                <w:sz w:val="21"/>
                <w:szCs w:val="21"/>
              </w:rPr>
              <w:t>January 2012</w:t>
            </w:r>
            <w:r>
              <w:rPr>
                <w:rFonts w:ascii="Times New Roman" w:hAnsi="Times New Roman" w:cs="Times New Roman"/>
                <w:sz w:val="21"/>
                <w:szCs w:val="21"/>
              </w:rPr>
              <w:br/>
              <w:t xml:space="preserve">Annual </w:t>
            </w:r>
            <w:r w:rsidRPr="0096184A">
              <w:rPr>
                <w:rFonts w:ascii="Times New Roman" w:hAnsi="Times New Roman" w:cs="Times New Roman"/>
                <w:sz w:val="21"/>
                <w:szCs w:val="21"/>
              </w:rPr>
              <w:t xml:space="preserve">Stack </w:t>
            </w:r>
            <w:r>
              <w:rPr>
                <w:rFonts w:ascii="Times New Roman" w:hAnsi="Times New Roman" w:cs="Times New Roman"/>
                <w:sz w:val="21"/>
                <w:szCs w:val="21"/>
              </w:rPr>
              <w:t>Tests</w:t>
            </w:r>
          </w:p>
        </w:tc>
        <w:tc>
          <w:tcPr>
            <w:tcW w:w="2340" w:type="dxa"/>
            <w:vAlign w:val="center"/>
            <w:hideMark/>
          </w:tcPr>
          <w:p w:rsidR="001558A3" w:rsidRPr="0096184A" w:rsidRDefault="001558A3" w:rsidP="001558A3">
            <w:pPr>
              <w:pStyle w:val="LFTTableheader2"/>
              <w:spacing w:before="60"/>
              <w:jc w:val="center"/>
              <w:rPr>
                <w:rFonts w:ascii="Times New Roman" w:hAnsi="Times New Roman" w:cs="Times New Roman"/>
                <w:sz w:val="21"/>
                <w:szCs w:val="21"/>
              </w:rPr>
            </w:pPr>
            <w:r w:rsidRPr="0096184A">
              <w:rPr>
                <w:rFonts w:ascii="Times New Roman" w:hAnsi="Times New Roman" w:cs="Times New Roman"/>
                <w:sz w:val="21"/>
                <w:szCs w:val="21"/>
              </w:rPr>
              <w:t xml:space="preserve">March 2012 </w:t>
            </w:r>
            <w:r>
              <w:rPr>
                <w:rFonts w:ascii="Times New Roman" w:hAnsi="Times New Roman" w:cs="Times New Roman"/>
                <w:sz w:val="21"/>
                <w:szCs w:val="21"/>
              </w:rPr>
              <w:t>Test</w:t>
            </w:r>
            <w:r>
              <w:rPr>
                <w:rFonts w:ascii="Times New Roman" w:hAnsi="Times New Roman" w:cs="Times New Roman"/>
                <w:sz w:val="21"/>
                <w:szCs w:val="21"/>
              </w:rPr>
              <w:br/>
              <w:t xml:space="preserve">5% </w:t>
            </w:r>
            <w:proofErr w:type="spellStart"/>
            <w:r>
              <w:rPr>
                <w:rFonts w:ascii="Times New Roman" w:hAnsi="Times New Roman" w:cs="Times New Roman"/>
                <w:sz w:val="21"/>
                <w:szCs w:val="21"/>
              </w:rPr>
              <w:t>Biosolids</w:t>
            </w:r>
            <w:proofErr w:type="spellEnd"/>
            <w:r>
              <w:rPr>
                <w:rFonts w:ascii="Times New Roman" w:hAnsi="Times New Roman" w:cs="Times New Roman"/>
                <w:sz w:val="21"/>
                <w:szCs w:val="21"/>
              </w:rPr>
              <w:t xml:space="preserve"> </w:t>
            </w:r>
          </w:p>
        </w:tc>
        <w:tc>
          <w:tcPr>
            <w:tcW w:w="2070" w:type="dxa"/>
            <w:vAlign w:val="center"/>
            <w:hideMark/>
          </w:tcPr>
          <w:p w:rsidR="001558A3" w:rsidRPr="0096184A" w:rsidRDefault="001558A3" w:rsidP="001558A3">
            <w:pPr>
              <w:pStyle w:val="LFTTableheader2"/>
              <w:spacing w:before="60"/>
              <w:jc w:val="center"/>
              <w:rPr>
                <w:rFonts w:ascii="Times New Roman" w:hAnsi="Times New Roman" w:cs="Times New Roman"/>
                <w:sz w:val="21"/>
                <w:szCs w:val="21"/>
              </w:rPr>
            </w:pPr>
            <w:r>
              <w:rPr>
                <w:rFonts w:ascii="Times New Roman" w:hAnsi="Times New Roman" w:cs="Times New Roman"/>
                <w:sz w:val="21"/>
                <w:szCs w:val="21"/>
              </w:rPr>
              <w:t>Comparison</w:t>
            </w:r>
            <w:r>
              <w:rPr>
                <w:rFonts w:ascii="Times New Roman" w:hAnsi="Times New Roman" w:cs="Times New Roman"/>
                <w:sz w:val="21"/>
                <w:szCs w:val="21"/>
              </w:rPr>
              <w:br/>
              <w:t>increase (decrease)</w:t>
            </w:r>
          </w:p>
        </w:tc>
      </w:tr>
      <w:tr w:rsidR="001558A3" w:rsidRPr="00504D07" w:rsidTr="005E2CAA">
        <w:trPr>
          <w:trHeight w:val="384"/>
        </w:trPr>
        <w:tc>
          <w:tcPr>
            <w:tcW w:w="1620" w:type="dxa"/>
            <w:noWrap/>
            <w:vAlign w:val="center"/>
            <w:hideMark/>
          </w:tcPr>
          <w:p w:rsidR="001558A3" w:rsidRPr="00504D07" w:rsidRDefault="001558A3" w:rsidP="001558A3">
            <w:pPr>
              <w:pStyle w:val="LFTTableheader2"/>
              <w:spacing w:before="60"/>
              <w:jc w:val="center"/>
              <w:rPr>
                <w:rFonts w:ascii="Times New Roman" w:hAnsi="Times New Roman" w:cs="Times New Roman"/>
                <w:b w:val="0"/>
                <w:sz w:val="22"/>
              </w:rPr>
            </w:pPr>
            <w:r w:rsidRPr="00504D07">
              <w:rPr>
                <w:rFonts w:ascii="Times New Roman" w:hAnsi="Times New Roman" w:cs="Times New Roman"/>
                <w:b w:val="0"/>
                <w:sz w:val="22"/>
              </w:rPr>
              <w:t>Mercury</w:t>
            </w:r>
            <w:r w:rsidR="005E2CAA">
              <w:rPr>
                <w:rFonts w:ascii="Times New Roman" w:hAnsi="Times New Roman" w:cs="Times New Roman"/>
                <w:b w:val="0"/>
                <w:sz w:val="22"/>
              </w:rPr>
              <w:t xml:space="preserve"> (Hg)</w:t>
            </w:r>
          </w:p>
        </w:tc>
        <w:tc>
          <w:tcPr>
            <w:tcW w:w="1890" w:type="dxa"/>
            <w:noWrap/>
            <w:vAlign w:val="center"/>
            <w:hideMark/>
          </w:tcPr>
          <w:p w:rsidR="001558A3" w:rsidRPr="00504D07" w:rsidRDefault="001558A3" w:rsidP="001558A3">
            <w:pPr>
              <w:pStyle w:val="LFTTabletext"/>
              <w:spacing w:before="60"/>
              <w:jc w:val="center"/>
              <w:rPr>
                <w:rFonts w:ascii="Times New Roman" w:hAnsi="Times New Roman" w:cs="Times New Roman"/>
                <w:sz w:val="22"/>
              </w:rPr>
            </w:pPr>
            <w:r>
              <w:rPr>
                <w:rFonts w:ascii="Times New Roman" w:hAnsi="Times New Roman" w:cs="Times New Roman"/>
                <w:sz w:val="22"/>
              </w:rPr>
              <w:t>µ</w:t>
            </w:r>
            <w:r w:rsidRPr="00504D07">
              <w:rPr>
                <w:rFonts w:ascii="Times New Roman" w:hAnsi="Times New Roman" w:cs="Times New Roman"/>
                <w:sz w:val="22"/>
              </w:rPr>
              <w:t>g/dscm</w:t>
            </w:r>
            <w:r>
              <w:rPr>
                <w:rFonts w:ascii="Times New Roman" w:hAnsi="Times New Roman" w:cs="Times New Roman"/>
                <w:sz w:val="22"/>
              </w:rPr>
              <w:t xml:space="preserve"> </w:t>
            </w:r>
            <w:r w:rsidRPr="00504D07">
              <w:rPr>
                <w:rFonts w:ascii="Times New Roman" w:hAnsi="Times New Roman" w:cs="Times New Roman"/>
                <w:sz w:val="22"/>
              </w:rPr>
              <w:t>@7%</w:t>
            </w:r>
            <w:r>
              <w:rPr>
                <w:rFonts w:ascii="Times New Roman" w:hAnsi="Times New Roman" w:cs="Times New Roman"/>
                <w:sz w:val="22"/>
              </w:rPr>
              <w:t xml:space="preserve"> </w:t>
            </w:r>
            <w:r w:rsidRPr="00504D07">
              <w:rPr>
                <w:rFonts w:ascii="Times New Roman" w:hAnsi="Times New Roman" w:cs="Times New Roman"/>
                <w:sz w:val="22"/>
              </w:rPr>
              <w:t>O</w:t>
            </w:r>
            <w:r w:rsidRPr="00504D07">
              <w:rPr>
                <w:rFonts w:ascii="Times New Roman" w:hAnsi="Times New Roman" w:cs="Times New Roman"/>
                <w:sz w:val="22"/>
                <w:vertAlign w:val="subscript"/>
              </w:rPr>
              <w:t>2</w:t>
            </w:r>
          </w:p>
        </w:tc>
        <w:tc>
          <w:tcPr>
            <w:tcW w:w="2160" w:type="dxa"/>
            <w:noWrap/>
            <w:vAlign w:val="center"/>
            <w:hideMark/>
          </w:tcPr>
          <w:p w:rsidR="001558A3" w:rsidRPr="00504D07" w:rsidRDefault="001558A3" w:rsidP="001558A3">
            <w:pPr>
              <w:pStyle w:val="LFTTabletext"/>
              <w:spacing w:before="60"/>
              <w:jc w:val="center"/>
              <w:rPr>
                <w:rFonts w:ascii="Times New Roman" w:hAnsi="Times New Roman" w:cs="Times New Roman"/>
                <w:sz w:val="22"/>
              </w:rPr>
            </w:pPr>
            <w:r w:rsidRPr="00504D07">
              <w:rPr>
                <w:rFonts w:ascii="Times New Roman" w:hAnsi="Times New Roman" w:cs="Times New Roman"/>
                <w:sz w:val="22"/>
              </w:rPr>
              <w:t>0</w:t>
            </w:r>
            <w:r>
              <w:rPr>
                <w:rFonts w:ascii="Times New Roman" w:hAnsi="Times New Roman" w:cs="Times New Roman"/>
                <w:sz w:val="22"/>
              </w:rPr>
              <w:t>.</w:t>
            </w:r>
            <w:r w:rsidRPr="00504D07">
              <w:rPr>
                <w:rFonts w:ascii="Times New Roman" w:hAnsi="Times New Roman" w:cs="Times New Roman"/>
                <w:sz w:val="22"/>
              </w:rPr>
              <w:t>72</w:t>
            </w:r>
          </w:p>
        </w:tc>
        <w:tc>
          <w:tcPr>
            <w:tcW w:w="2340" w:type="dxa"/>
            <w:noWrap/>
            <w:vAlign w:val="center"/>
            <w:hideMark/>
          </w:tcPr>
          <w:p w:rsidR="001558A3" w:rsidRPr="00504D07" w:rsidRDefault="001558A3" w:rsidP="001558A3">
            <w:pPr>
              <w:pStyle w:val="LFTTabletext"/>
              <w:spacing w:before="60"/>
              <w:jc w:val="center"/>
              <w:rPr>
                <w:rFonts w:ascii="Times New Roman" w:hAnsi="Times New Roman" w:cs="Times New Roman"/>
                <w:sz w:val="22"/>
              </w:rPr>
            </w:pPr>
            <w:r w:rsidRPr="00504D07">
              <w:rPr>
                <w:rFonts w:ascii="Times New Roman" w:hAnsi="Times New Roman" w:cs="Times New Roman"/>
                <w:sz w:val="22"/>
              </w:rPr>
              <w:t>0</w:t>
            </w:r>
            <w:r>
              <w:rPr>
                <w:rFonts w:ascii="Times New Roman" w:hAnsi="Times New Roman" w:cs="Times New Roman"/>
                <w:sz w:val="22"/>
              </w:rPr>
              <w:t>.26</w:t>
            </w:r>
          </w:p>
        </w:tc>
        <w:tc>
          <w:tcPr>
            <w:tcW w:w="2070" w:type="dxa"/>
            <w:noWrap/>
            <w:vAlign w:val="center"/>
            <w:hideMark/>
          </w:tcPr>
          <w:p w:rsidR="001558A3" w:rsidRPr="00504D07" w:rsidRDefault="001558A3" w:rsidP="001558A3">
            <w:pPr>
              <w:pStyle w:val="LFTTabletext"/>
              <w:spacing w:before="60"/>
              <w:jc w:val="center"/>
              <w:rPr>
                <w:rFonts w:ascii="Times New Roman" w:hAnsi="Times New Roman" w:cs="Times New Roman"/>
                <w:sz w:val="22"/>
              </w:rPr>
            </w:pPr>
            <w:r>
              <w:rPr>
                <w:rFonts w:ascii="Times New Roman" w:hAnsi="Times New Roman" w:cs="Times New Roman"/>
                <w:sz w:val="22"/>
              </w:rPr>
              <w:t>(</w:t>
            </w:r>
            <w:r w:rsidRPr="00504D07">
              <w:rPr>
                <w:rFonts w:ascii="Times New Roman" w:hAnsi="Times New Roman" w:cs="Times New Roman"/>
                <w:sz w:val="22"/>
              </w:rPr>
              <w:t>0.464</w:t>
            </w:r>
            <w:r>
              <w:rPr>
                <w:rFonts w:ascii="Times New Roman" w:hAnsi="Times New Roman" w:cs="Times New Roman"/>
                <w:sz w:val="22"/>
              </w:rPr>
              <w:t>)</w:t>
            </w:r>
          </w:p>
        </w:tc>
      </w:tr>
      <w:tr w:rsidR="001558A3" w:rsidRPr="00504D07" w:rsidTr="005E2CAA">
        <w:trPr>
          <w:trHeight w:val="345"/>
        </w:trPr>
        <w:tc>
          <w:tcPr>
            <w:tcW w:w="1620" w:type="dxa"/>
            <w:noWrap/>
            <w:vAlign w:val="center"/>
            <w:hideMark/>
          </w:tcPr>
          <w:p w:rsidR="001558A3" w:rsidRPr="00504D07" w:rsidRDefault="001558A3" w:rsidP="001558A3">
            <w:pPr>
              <w:pStyle w:val="LFTTableheader2"/>
              <w:spacing w:before="60"/>
              <w:jc w:val="center"/>
              <w:rPr>
                <w:rFonts w:ascii="Times New Roman" w:hAnsi="Times New Roman" w:cs="Times New Roman"/>
                <w:b w:val="0"/>
                <w:sz w:val="22"/>
              </w:rPr>
            </w:pPr>
            <w:r w:rsidRPr="00504D07">
              <w:rPr>
                <w:rFonts w:ascii="Times New Roman" w:hAnsi="Times New Roman" w:cs="Times New Roman"/>
                <w:b w:val="0"/>
                <w:sz w:val="22"/>
              </w:rPr>
              <w:t>Cadmium</w:t>
            </w:r>
            <w:r w:rsidR="005E2CAA">
              <w:rPr>
                <w:rFonts w:ascii="Times New Roman" w:hAnsi="Times New Roman" w:cs="Times New Roman"/>
                <w:b w:val="0"/>
                <w:sz w:val="22"/>
              </w:rPr>
              <w:t xml:space="preserve"> (</w:t>
            </w:r>
            <w:proofErr w:type="spellStart"/>
            <w:r w:rsidR="005E2CAA">
              <w:rPr>
                <w:rFonts w:ascii="Times New Roman" w:hAnsi="Times New Roman" w:cs="Times New Roman"/>
                <w:b w:val="0"/>
                <w:sz w:val="22"/>
              </w:rPr>
              <w:t>Cd</w:t>
            </w:r>
            <w:proofErr w:type="spellEnd"/>
            <w:r w:rsidR="005E2CAA">
              <w:rPr>
                <w:rFonts w:ascii="Times New Roman" w:hAnsi="Times New Roman" w:cs="Times New Roman"/>
                <w:b w:val="0"/>
                <w:sz w:val="22"/>
              </w:rPr>
              <w:t>)</w:t>
            </w:r>
          </w:p>
        </w:tc>
        <w:tc>
          <w:tcPr>
            <w:tcW w:w="1890" w:type="dxa"/>
            <w:noWrap/>
            <w:vAlign w:val="center"/>
            <w:hideMark/>
          </w:tcPr>
          <w:p w:rsidR="001558A3" w:rsidRPr="00504D07" w:rsidRDefault="001558A3" w:rsidP="001558A3">
            <w:pPr>
              <w:pStyle w:val="LFTTabletext"/>
              <w:spacing w:before="60"/>
              <w:jc w:val="center"/>
              <w:rPr>
                <w:rFonts w:ascii="Times New Roman" w:hAnsi="Times New Roman" w:cs="Times New Roman"/>
                <w:sz w:val="22"/>
              </w:rPr>
            </w:pPr>
            <w:r>
              <w:rPr>
                <w:rFonts w:ascii="Times New Roman" w:hAnsi="Times New Roman" w:cs="Times New Roman"/>
                <w:sz w:val="22"/>
              </w:rPr>
              <w:t>µ</w:t>
            </w:r>
            <w:r w:rsidRPr="00504D07">
              <w:rPr>
                <w:rFonts w:ascii="Times New Roman" w:hAnsi="Times New Roman" w:cs="Times New Roman"/>
                <w:sz w:val="22"/>
              </w:rPr>
              <w:t>g/dscm</w:t>
            </w:r>
            <w:r>
              <w:rPr>
                <w:rFonts w:ascii="Times New Roman" w:hAnsi="Times New Roman" w:cs="Times New Roman"/>
                <w:sz w:val="22"/>
              </w:rPr>
              <w:t xml:space="preserve"> </w:t>
            </w:r>
            <w:r w:rsidRPr="00504D07">
              <w:rPr>
                <w:rFonts w:ascii="Times New Roman" w:hAnsi="Times New Roman" w:cs="Times New Roman"/>
                <w:sz w:val="22"/>
              </w:rPr>
              <w:t>@7%</w:t>
            </w:r>
            <w:r>
              <w:rPr>
                <w:rFonts w:ascii="Times New Roman" w:hAnsi="Times New Roman" w:cs="Times New Roman"/>
                <w:sz w:val="22"/>
              </w:rPr>
              <w:t xml:space="preserve"> </w:t>
            </w:r>
            <w:r w:rsidRPr="00504D07">
              <w:rPr>
                <w:rFonts w:ascii="Times New Roman" w:hAnsi="Times New Roman" w:cs="Times New Roman"/>
                <w:sz w:val="22"/>
              </w:rPr>
              <w:t>O</w:t>
            </w:r>
            <w:r w:rsidRPr="00504D07">
              <w:rPr>
                <w:rFonts w:ascii="Times New Roman" w:hAnsi="Times New Roman" w:cs="Times New Roman"/>
                <w:sz w:val="22"/>
                <w:vertAlign w:val="subscript"/>
              </w:rPr>
              <w:t>2</w:t>
            </w:r>
          </w:p>
        </w:tc>
        <w:tc>
          <w:tcPr>
            <w:tcW w:w="2160" w:type="dxa"/>
            <w:noWrap/>
            <w:vAlign w:val="center"/>
            <w:hideMark/>
          </w:tcPr>
          <w:p w:rsidR="001558A3" w:rsidRPr="00504D07" w:rsidRDefault="001558A3" w:rsidP="001558A3">
            <w:pPr>
              <w:pStyle w:val="LFTTabletext"/>
              <w:spacing w:before="60"/>
              <w:jc w:val="center"/>
              <w:rPr>
                <w:rFonts w:ascii="Times New Roman" w:hAnsi="Times New Roman" w:cs="Times New Roman"/>
                <w:sz w:val="22"/>
              </w:rPr>
            </w:pPr>
            <w:r>
              <w:rPr>
                <w:rFonts w:ascii="Times New Roman" w:hAnsi="Times New Roman" w:cs="Times New Roman"/>
                <w:sz w:val="22"/>
              </w:rPr>
              <w:t>&lt;</w:t>
            </w:r>
            <w:r w:rsidRPr="00504D07">
              <w:rPr>
                <w:rFonts w:ascii="Times New Roman" w:hAnsi="Times New Roman" w:cs="Times New Roman"/>
                <w:sz w:val="22"/>
              </w:rPr>
              <w:t>0.117</w:t>
            </w:r>
          </w:p>
        </w:tc>
        <w:tc>
          <w:tcPr>
            <w:tcW w:w="2340" w:type="dxa"/>
            <w:noWrap/>
            <w:vAlign w:val="center"/>
            <w:hideMark/>
          </w:tcPr>
          <w:p w:rsidR="001558A3" w:rsidRPr="00504D07" w:rsidRDefault="001558A3" w:rsidP="001558A3">
            <w:pPr>
              <w:pStyle w:val="LFTTabletext"/>
              <w:spacing w:before="60"/>
              <w:jc w:val="center"/>
              <w:rPr>
                <w:rFonts w:ascii="Times New Roman" w:hAnsi="Times New Roman" w:cs="Times New Roman"/>
                <w:sz w:val="22"/>
              </w:rPr>
            </w:pPr>
            <w:r>
              <w:rPr>
                <w:rFonts w:ascii="Times New Roman" w:hAnsi="Times New Roman" w:cs="Times New Roman"/>
                <w:sz w:val="22"/>
              </w:rPr>
              <w:t>&lt;</w:t>
            </w:r>
            <w:r w:rsidRPr="00504D07">
              <w:rPr>
                <w:rFonts w:ascii="Times New Roman" w:hAnsi="Times New Roman" w:cs="Times New Roman"/>
                <w:sz w:val="22"/>
              </w:rPr>
              <w:t>0.13</w:t>
            </w:r>
            <w:r>
              <w:rPr>
                <w:rFonts w:ascii="Times New Roman" w:hAnsi="Times New Roman" w:cs="Times New Roman"/>
                <w:sz w:val="22"/>
              </w:rPr>
              <w:t>0</w:t>
            </w:r>
          </w:p>
        </w:tc>
        <w:tc>
          <w:tcPr>
            <w:tcW w:w="2070" w:type="dxa"/>
            <w:noWrap/>
            <w:vAlign w:val="center"/>
            <w:hideMark/>
          </w:tcPr>
          <w:p w:rsidR="001558A3" w:rsidRPr="00504D07" w:rsidRDefault="001558A3" w:rsidP="001558A3">
            <w:pPr>
              <w:pStyle w:val="LFTTabletext"/>
              <w:spacing w:before="60"/>
              <w:jc w:val="center"/>
              <w:rPr>
                <w:rFonts w:ascii="Times New Roman" w:hAnsi="Times New Roman" w:cs="Times New Roman"/>
                <w:sz w:val="22"/>
              </w:rPr>
            </w:pPr>
            <w:r w:rsidRPr="00504D07">
              <w:rPr>
                <w:rFonts w:ascii="Times New Roman" w:hAnsi="Times New Roman" w:cs="Times New Roman"/>
                <w:sz w:val="22"/>
              </w:rPr>
              <w:t>0.</w:t>
            </w:r>
            <w:r>
              <w:rPr>
                <w:rFonts w:ascii="Times New Roman" w:hAnsi="Times New Roman" w:cs="Times New Roman"/>
                <w:sz w:val="22"/>
              </w:rPr>
              <w:t>0</w:t>
            </w:r>
            <w:r w:rsidRPr="00504D07">
              <w:rPr>
                <w:rFonts w:ascii="Times New Roman" w:hAnsi="Times New Roman" w:cs="Times New Roman"/>
                <w:sz w:val="22"/>
              </w:rPr>
              <w:t>13</w:t>
            </w:r>
          </w:p>
        </w:tc>
      </w:tr>
      <w:tr w:rsidR="001558A3" w:rsidRPr="00504D07" w:rsidTr="005E2CAA">
        <w:trPr>
          <w:trHeight w:val="345"/>
        </w:trPr>
        <w:tc>
          <w:tcPr>
            <w:tcW w:w="1620" w:type="dxa"/>
            <w:noWrap/>
            <w:vAlign w:val="center"/>
            <w:hideMark/>
          </w:tcPr>
          <w:p w:rsidR="001558A3" w:rsidRPr="00504D07" w:rsidRDefault="001558A3" w:rsidP="001558A3">
            <w:pPr>
              <w:pStyle w:val="LFTTableheader2"/>
              <w:spacing w:before="60"/>
              <w:jc w:val="center"/>
              <w:rPr>
                <w:rFonts w:ascii="Times New Roman" w:hAnsi="Times New Roman" w:cs="Times New Roman"/>
                <w:b w:val="0"/>
                <w:sz w:val="22"/>
              </w:rPr>
            </w:pPr>
            <w:r w:rsidRPr="00504D07">
              <w:rPr>
                <w:rFonts w:ascii="Times New Roman" w:hAnsi="Times New Roman" w:cs="Times New Roman"/>
                <w:b w:val="0"/>
                <w:sz w:val="22"/>
              </w:rPr>
              <w:t>Lead</w:t>
            </w:r>
            <w:r w:rsidR="005E2CAA">
              <w:rPr>
                <w:rFonts w:ascii="Times New Roman" w:hAnsi="Times New Roman" w:cs="Times New Roman"/>
                <w:b w:val="0"/>
                <w:sz w:val="22"/>
              </w:rPr>
              <w:t xml:space="preserve"> (Pb)</w:t>
            </w:r>
          </w:p>
        </w:tc>
        <w:tc>
          <w:tcPr>
            <w:tcW w:w="1890" w:type="dxa"/>
            <w:noWrap/>
            <w:vAlign w:val="center"/>
            <w:hideMark/>
          </w:tcPr>
          <w:p w:rsidR="001558A3" w:rsidRPr="00504D07" w:rsidRDefault="001558A3" w:rsidP="001558A3">
            <w:pPr>
              <w:pStyle w:val="LFTTabletext"/>
              <w:spacing w:before="60"/>
              <w:jc w:val="center"/>
              <w:rPr>
                <w:rFonts w:ascii="Times New Roman" w:hAnsi="Times New Roman" w:cs="Times New Roman"/>
                <w:sz w:val="22"/>
              </w:rPr>
            </w:pPr>
            <w:r>
              <w:rPr>
                <w:rFonts w:ascii="Times New Roman" w:hAnsi="Times New Roman" w:cs="Times New Roman"/>
                <w:sz w:val="22"/>
              </w:rPr>
              <w:t>µ</w:t>
            </w:r>
            <w:r w:rsidRPr="00504D07">
              <w:rPr>
                <w:rFonts w:ascii="Times New Roman" w:hAnsi="Times New Roman" w:cs="Times New Roman"/>
                <w:sz w:val="22"/>
              </w:rPr>
              <w:t>g/dscm</w:t>
            </w:r>
            <w:r>
              <w:rPr>
                <w:rFonts w:ascii="Times New Roman" w:hAnsi="Times New Roman" w:cs="Times New Roman"/>
                <w:sz w:val="22"/>
              </w:rPr>
              <w:t xml:space="preserve"> </w:t>
            </w:r>
            <w:r w:rsidRPr="00504D07">
              <w:rPr>
                <w:rFonts w:ascii="Times New Roman" w:hAnsi="Times New Roman" w:cs="Times New Roman"/>
                <w:sz w:val="22"/>
              </w:rPr>
              <w:t>@7%</w:t>
            </w:r>
            <w:r>
              <w:rPr>
                <w:rFonts w:ascii="Times New Roman" w:hAnsi="Times New Roman" w:cs="Times New Roman"/>
                <w:sz w:val="22"/>
              </w:rPr>
              <w:t xml:space="preserve"> </w:t>
            </w:r>
            <w:r w:rsidRPr="00504D07">
              <w:rPr>
                <w:rFonts w:ascii="Times New Roman" w:hAnsi="Times New Roman" w:cs="Times New Roman"/>
                <w:sz w:val="22"/>
              </w:rPr>
              <w:t>O</w:t>
            </w:r>
            <w:r w:rsidRPr="00504D07">
              <w:rPr>
                <w:rFonts w:ascii="Times New Roman" w:hAnsi="Times New Roman" w:cs="Times New Roman"/>
                <w:sz w:val="22"/>
                <w:vertAlign w:val="subscript"/>
              </w:rPr>
              <w:t>2</w:t>
            </w:r>
          </w:p>
        </w:tc>
        <w:tc>
          <w:tcPr>
            <w:tcW w:w="2160" w:type="dxa"/>
            <w:noWrap/>
            <w:vAlign w:val="center"/>
            <w:hideMark/>
          </w:tcPr>
          <w:p w:rsidR="001558A3" w:rsidRPr="00504D07" w:rsidRDefault="001558A3" w:rsidP="001558A3">
            <w:pPr>
              <w:pStyle w:val="LFTTabletext"/>
              <w:spacing w:before="60"/>
              <w:jc w:val="center"/>
              <w:rPr>
                <w:rFonts w:ascii="Times New Roman" w:hAnsi="Times New Roman" w:cs="Times New Roman"/>
                <w:sz w:val="22"/>
              </w:rPr>
            </w:pPr>
            <w:r w:rsidRPr="00504D07">
              <w:rPr>
                <w:rFonts w:ascii="Times New Roman" w:hAnsi="Times New Roman" w:cs="Times New Roman"/>
                <w:sz w:val="22"/>
              </w:rPr>
              <w:t>1</w:t>
            </w:r>
            <w:r>
              <w:rPr>
                <w:rFonts w:ascii="Times New Roman" w:hAnsi="Times New Roman" w:cs="Times New Roman"/>
                <w:sz w:val="22"/>
              </w:rPr>
              <w:t>.</w:t>
            </w:r>
            <w:r w:rsidRPr="00504D07">
              <w:rPr>
                <w:rFonts w:ascii="Times New Roman" w:hAnsi="Times New Roman" w:cs="Times New Roman"/>
                <w:sz w:val="22"/>
              </w:rPr>
              <w:t>33</w:t>
            </w:r>
          </w:p>
        </w:tc>
        <w:tc>
          <w:tcPr>
            <w:tcW w:w="2340" w:type="dxa"/>
            <w:noWrap/>
            <w:vAlign w:val="center"/>
            <w:hideMark/>
          </w:tcPr>
          <w:p w:rsidR="001558A3" w:rsidRPr="00504D07" w:rsidRDefault="001558A3" w:rsidP="001558A3">
            <w:pPr>
              <w:pStyle w:val="LFTTabletext"/>
              <w:spacing w:before="60"/>
              <w:jc w:val="center"/>
              <w:rPr>
                <w:rFonts w:ascii="Times New Roman" w:hAnsi="Times New Roman" w:cs="Times New Roman"/>
                <w:sz w:val="22"/>
              </w:rPr>
            </w:pPr>
            <w:r w:rsidRPr="00504D07">
              <w:rPr>
                <w:rFonts w:ascii="Times New Roman" w:hAnsi="Times New Roman" w:cs="Times New Roman"/>
                <w:sz w:val="22"/>
              </w:rPr>
              <w:t>1</w:t>
            </w:r>
            <w:r>
              <w:rPr>
                <w:rFonts w:ascii="Times New Roman" w:hAnsi="Times New Roman" w:cs="Times New Roman"/>
                <w:sz w:val="22"/>
              </w:rPr>
              <w:t>.</w:t>
            </w:r>
            <w:r w:rsidRPr="00504D07">
              <w:rPr>
                <w:rFonts w:ascii="Times New Roman" w:hAnsi="Times New Roman" w:cs="Times New Roman"/>
                <w:sz w:val="22"/>
              </w:rPr>
              <w:t>33</w:t>
            </w:r>
          </w:p>
        </w:tc>
        <w:tc>
          <w:tcPr>
            <w:tcW w:w="2070" w:type="dxa"/>
            <w:noWrap/>
            <w:vAlign w:val="center"/>
            <w:hideMark/>
          </w:tcPr>
          <w:p w:rsidR="001558A3" w:rsidRPr="00504D07" w:rsidRDefault="001558A3" w:rsidP="001558A3">
            <w:pPr>
              <w:pStyle w:val="LFTTabletext"/>
              <w:spacing w:before="60"/>
              <w:jc w:val="center"/>
              <w:rPr>
                <w:rFonts w:ascii="Times New Roman" w:hAnsi="Times New Roman" w:cs="Times New Roman"/>
                <w:sz w:val="22"/>
              </w:rPr>
            </w:pPr>
            <w:r w:rsidRPr="00504D07">
              <w:rPr>
                <w:rFonts w:ascii="Times New Roman" w:hAnsi="Times New Roman" w:cs="Times New Roman"/>
                <w:sz w:val="22"/>
              </w:rPr>
              <w:t>0</w:t>
            </w:r>
          </w:p>
        </w:tc>
      </w:tr>
      <w:tr w:rsidR="001558A3" w:rsidRPr="00504D07" w:rsidTr="005E2CAA">
        <w:trPr>
          <w:trHeight w:val="345"/>
        </w:trPr>
        <w:tc>
          <w:tcPr>
            <w:tcW w:w="1620" w:type="dxa"/>
            <w:noWrap/>
            <w:vAlign w:val="center"/>
            <w:hideMark/>
          </w:tcPr>
          <w:p w:rsidR="001558A3" w:rsidRPr="00504D07" w:rsidRDefault="001558A3" w:rsidP="001558A3">
            <w:pPr>
              <w:pStyle w:val="LFTTableheader2"/>
              <w:spacing w:before="60"/>
              <w:jc w:val="center"/>
              <w:rPr>
                <w:rFonts w:ascii="Times New Roman" w:hAnsi="Times New Roman" w:cs="Times New Roman"/>
                <w:b w:val="0"/>
                <w:sz w:val="22"/>
              </w:rPr>
            </w:pPr>
            <w:r w:rsidRPr="00504D07">
              <w:rPr>
                <w:rFonts w:ascii="Times New Roman" w:hAnsi="Times New Roman" w:cs="Times New Roman"/>
                <w:b w:val="0"/>
                <w:sz w:val="22"/>
              </w:rPr>
              <w:t>Opacity</w:t>
            </w:r>
          </w:p>
        </w:tc>
        <w:tc>
          <w:tcPr>
            <w:tcW w:w="1890" w:type="dxa"/>
            <w:noWrap/>
            <w:vAlign w:val="center"/>
            <w:hideMark/>
          </w:tcPr>
          <w:p w:rsidR="001558A3" w:rsidRPr="00504D07" w:rsidRDefault="001558A3" w:rsidP="001558A3">
            <w:pPr>
              <w:pStyle w:val="LFTTabletext"/>
              <w:spacing w:before="60"/>
              <w:jc w:val="center"/>
              <w:rPr>
                <w:rFonts w:ascii="Times New Roman" w:hAnsi="Times New Roman" w:cs="Times New Roman"/>
                <w:sz w:val="22"/>
              </w:rPr>
            </w:pPr>
            <w:r w:rsidRPr="00504D07">
              <w:rPr>
                <w:rFonts w:ascii="Times New Roman" w:hAnsi="Times New Roman" w:cs="Times New Roman"/>
                <w:sz w:val="22"/>
              </w:rPr>
              <w:t>%</w:t>
            </w:r>
          </w:p>
        </w:tc>
        <w:tc>
          <w:tcPr>
            <w:tcW w:w="2160" w:type="dxa"/>
            <w:noWrap/>
            <w:vAlign w:val="center"/>
            <w:hideMark/>
          </w:tcPr>
          <w:p w:rsidR="001558A3" w:rsidRPr="00504D07" w:rsidRDefault="001558A3" w:rsidP="001558A3">
            <w:pPr>
              <w:pStyle w:val="LFTTabletext"/>
              <w:spacing w:before="60"/>
              <w:jc w:val="center"/>
              <w:rPr>
                <w:rFonts w:ascii="Times New Roman" w:hAnsi="Times New Roman" w:cs="Times New Roman"/>
                <w:sz w:val="22"/>
              </w:rPr>
            </w:pPr>
            <w:r w:rsidRPr="00504D07">
              <w:rPr>
                <w:rFonts w:ascii="Times New Roman" w:hAnsi="Times New Roman" w:cs="Times New Roman"/>
                <w:sz w:val="22"/>
              </w:rPr>
              <w:t>0</w:t>
            </w:r>
          </w:p>
        </w:tc>
        <w:tc>
          <w:tcPr>
            <w:tcW w:w="2340" w:type="dxa"/>
            <w:noWrap/>
            <w:vAlign w:val="center"/>
            <w:hideMark/>
          </w:tcPr>
          <w:p w:rsidR="001558A3" w:rsidRPr="00504D07" w:rsidRDefault="001558A3" w:rsidP="001558A3">
            <w:pPr>
              <w:pStyle w:val="LFTTabletext"/>
              <w:spacing w:before="60"/>
              <w:jc w:val="center"/>
              <w:rPr>
                <w:rFonts w:ascii="Times New Roman" w:hAnsi="Times New Roman" w:cs="Times New Roman"/>
                <w:sz w:val="22"/>
              </w:rPr>
            </w:pPr>
            <w:r w:rsidRPr="00504D07">
              <w:rPr>
                <w:rFonts w:ascii="Times New Roman" w:hAnsi="Times New Roman" w:cs="Times New Roman"/>
                <w:sz w:val="22"/>
              </w:rPr>
              <w:t>0</w:t>
            </w:r>
          </w:p>
        </w:tc>
        <w:tc>
          <w:tcPr>
            <w:tcW w:w="2070" w:type="dxa"/>
            <w:noWrap/>
            <w:vAlign w:val="center"/>
            <w:hideMark/>
          </w:tcPr>
          <w:p w:rsidR="001558A3" w:rsidRPr="00504D07" w:rsidRDefault="001558A3" w:rsidP="001558A3">
            <w:pPr>
              <w:pStyle w:val="LFTTabletext"/>
              <w:spacing w:before="60"/>
              <w:jc w:val="center"/>
              <w:rPr>
                <w:rFonts w:ascii="Times New Roman" w:hAnsi="Times New Roman" w:cs="Times New Roman"/>
                <w:sz w:val="22"/>
              </w:rPr>
            </w:pPr>
            <w:r w:rsidRPr="00504D07">
              <w:rPr>
                <w:rFonts w:ascii="Times New Roman" w:hAnsi="Times New Roman" w:cs="Times New Roman"/>
                <w:sz w:val="22"/>
              </w:rPr>
              <w:t>0</w:t>
            </w:r>
          </w:p>
        </w:tc>
      </w:tr>
      <w:tr w:rsidR="001558A3" w:rsidRPr="00504D07" w:rsidTr="005E2CAA">
        <w:trPr>
          <w:trHeight w:val="345"/>
        </w:trPr>
        <w:tc>
          <w:tcPr>
            <w:tcW w:w="1620" w:type="dxa"/>
            <w:noWrap/>
            <w:vAlign w:val="center"/>
            <w:hideMark/>
          </w:tcPr>
          <w:p w:rsidR="001558A3" w:rsidRPr="00504D07" w:rsidRDefault="001558A3" w:rsidP="001558A3">
            <w:pPr>
              <w:pStyle w:val="LFTTableheader2"/>
              <w:spacing w:before="60"/>
              <w:jc w:val="center"/>
              <w:rPr>
                <w:rFonts w:ascii="Times New Roman" w:hAnsi="Times New Roman" w:cs="Times New Roman"/>
                <w:b w:val="0"/>
                <w:sz w:val="22"/>
              </w:rPr>
            </w:pPr>
            <w:r w:rsidRPr="00504D07">
              <w:rPr>
                <w:rFonts w:ascii="Times New Roman" w:hAnsi="Times New Roman" w:cs="Times New Roman"/>
                <w:b w:val="0"/>
                <w:sz w:val="22"/>
              </w:rPr>
              <w:t>CO</w:t>
            </w:r>
          </w:p>
        </w:tc>
        <w:tc>
          <w:tcPr>
            <w:tcW w:w="1890" w:type="dxa"/>
            <w:noWrap/>
            <w:vAlign w:val="center"/>
            <w:hideMark/>
          </w:tcPr>
          <w:p w:rsidR="001558A3" w:rsidRPr="00504D07" w:rsidRDefault="001558A3" w:rsidP="001558A3">
            <w:pPr>
              <w:pStyle w:val="LFTTabletext"/>
              <w:spacing w:before="60"/>
              <w:jc w:val="center"/>
              <w:rPr>
                <w:rFonts w:ascii="Times New Roman" w:hAnsi="Times New Roman" w:cs="Times New Roman"/>
                <w:sz w:val="22"/>
              </w:rPr>
            </w:pPr>
            <w:r w:rsidRPr="00504D07">
              <w:rPr>
                <w:rFonts w:ascii="Times New Roman" w:hAnsi="Times New Roman" w:cs="Times New Roman"/>
                <w:sz w:val="22"/>
              </w:rPr>
              <w:t>ppm@7%</w:t>
            </w:r>
            <w:r>
              <w:rPr>
                <w:rFonts w:ascii="Times New Roman" w:hAnsi="Times New Roman" w:cs="Times New Roman"/>
                <w:sz w:val="22"/>
              </w:rPr>
              <w:t xml:space="preserve"> </w:t>
            </w:r>
            <w:r w:rsidRPr="00504D07">
              <w:rPr>
                <w:rFonts w:ascii="Times New Roman" w:hAnsi="Times New Roman" w:cs="Times New Roman"/>
                <w:sz w:val="22"/>
              </w:rPr>
              <w:t>O</w:t>
            </w:r>
            <w:r w:rsidRPr="00504D07">
              <w:rPr>
                <w:rFonts w:ascii="Times New Roman" w:hAnsi="Times New Roman" w:cs="Times New Roman"/>
                <w:sz w:val="22"/>
                <w:vertAlign w:val="subscript"/>
              </w:rPr>
              <w:t>2</w:t>
            </w:r>
          </w:p>
        </w:tc>
        <w:tc>
          <w:tcPr>
            <w:tcW w:w="2160" w:type="dxa"/>
            <w:noWrap/>
            <w:vAlign w:val="center"/>
            <w:hideMark/>
          </w:tcPr>
          <w:p w:rsidR="001558A3" w:rsidRPr="00504D07" w:rsidRDefault="001558A3" w:rsidP="001558A3">
            <w:pPr>
              <w:pStyle w:val="LFTTabletext"/>
              <w:spacing w:before="60"/>
              <w:jc w:val="center"/>
              <w:rPr>
                <w:rFonts w:ascii="Times New Roman" w:hAnsi="Times New Roman" w:cs="Times New Roman"/>
                <w:sz w:val="22"/>
              </w:rPr>
            </w:pPr>
            <w:r w:rsidRPr="00504D07">
              <w:rPr>
                <w:rFonts w:ascii="Times New Roman" w:hAnsi="Times New Roman" w:cs="Times New Roman"/>
                <w:sz w:val="22"/>
              </w:rPr>
              <w:t>12</w:t>
            </w:r>
          </w:p>
        </w:tc>
        <w:tc>
          <w:tcPr>
            <w:tcW w:w="2340" w:type="dxa"/>
            <w:noWrap/>
            <w:vAlign w:val="center"/>
            <w:hideMark/>
          </w:tcPr>
          <w:p w:rsidR="001558A3" w:rsidRPr="00504D07" w:rsidRDefault="001558A3" w:rsidP="001558A3">
            <w:pPr>
              <w:pStyle w:val="LFTTabletext"/>
              <w:spacing w:before="60"/>
              <w:jc w:val="center"/>
              <w:rPr>
                <w:rFonts w:ascii="Times New Roman" w:hAnsi="Times New Roman" w:cs="Times New Roman"/>
                <w:sz w:val="22"/>
              </w:rPr>
            </w:pPr>
            <w:r w:rsidRPr="00504D07">
              <w:rPr>
                <w:rFonts w:ascii="Times New Roman" w:hAnsi="Times New Roman" w:cs="Times New Roman"/>
                <w:sz w:val="22"/>
              </w:rPr>
              <w:t>11</w:t>
            </w:r>
          </w:p>
        </w:tc>
        <w:tc>
          <w:tcPr>
            <w:tcW w:w="2070" w:type="dxa"/>
            <w:noWrap/>
            <w:vAlign w:val="center"/>
            <w:hideMark/>
          </w:tcPr>
          <w:p w:rsidR="001558A3" w:rsidRPr="00504D07" w:rsidRDefault="001558A3" w:rsidP="001558A3">
            <w:pPr>
              <w:pStyle w:val="LFTTabletext"/>
              <w:spacing w:before="60"/>
              <w:jc w:val="center"/>
              <w:rPr>
                <w:rFonts w:ascii="Times New Roman" w:hAnsi="Times New Roman" w:cs="Times New Roman"/>
                <w:sz w:val="22"/>
              </w:rPr>
            </w:pPr>
            <w:r>
              <w:rPr>
                <w:rFonts w:ascii="Times New Roman" w:hAnsi="Times New Roman" w:cs="Times New Roman"/>
                <w:sz w:val="22"/>
              </w:rPr>
              <w:t>(</w:t>
            </w:r>
            <w:r w:rsidRPr="00504D07">
              <w:rPr>
                <w:rFonts w:ascii="Times New Roman" w:hAnsi="Times New Roman" w:cs="Times New Roman"/>
                <w:sz w:val="22"/>
              </w:rPr>
              <w:t>1</w:t>
            </w:r>
            <w:r>
              <w:rPr>
                <w:rFonts w:ascii="Times New Roman" w:hAnsi="Times New Roman" w:cs="Times New Roman"/>
                <w:sz w:val="22"/>
              </w:rPr>
              <w:t>)</w:t>
            </w:r>
          </w:p>
        </w:tc>
      </w:tr>
      <w:tr w:rsidR="001558A3" w:rsidRPr="00504D07" w:rsidTr="005E2CAA">
        <w:trPr>
          <w:trHeight w:val="345"/>
        </w:trPr>
        <w:tc>
          <w:tcPr>
            <w:tcW w:w="1620" w:type="dxa"/>
            <w:noWrap/>
            <w:vAlign w:val="center"/>
            <w:hideMark/>
          </w:tcPr>
          <w:p w:rsidR="001558A3" w:rsidRPr="00504D07" w:rsidRDefault="001558A3" w:rsidP="001558A3">
            <w:pPr>
              <w:pStyle w:val="LFTTableheader2"/>
              <w:spacing w:before="60"/>
              <w:jc w:val="center"/>
              <w:rPr>
                <w:rFonts w:ascii="Times New Roman" w:hAnsi="Times New Roman" w:cs="Times New Roman"/>
                <w:b w:val="0"/>
                <w:sz w:val="22"/>
              </w:rPr>
            </w:pPr>
            <w:r w:rsidRPr="00504D07">
              <w:rPr>
                <w:rFonts w:ascii="Times New Roman" w:hAnsi="Times New Roman" w:cs="Times New Roman"/>
                <w:b w:val="0"/>
                <w:sz w:val="22"/>
              </w:rPr>
              <w:t>SO</w:t>
            </w:r>
            <w:r w:rsidRPr="00504D07">
              <w:rPr>
                <w:rFonts w:ascii="Times New Roman" w:hAnsi="Times New Roman" w:cs="Times New Roman"/>
                <w:b w:val="0"/>
                <w:sz w:val="22"/>
                <w:vertAlign w:val="subscript"/>
              </w:rPr>
              <w:t>X</w:t>
            </w:r>
          </w:p>
        </w:tc>
        <w:tc>
          <w:tcPr>
            <w:tcW w:w="1890" w:type="dxa"/>
            <w:noWrap/>
            <w:vAlign w:val="center"/>
            <w:hideMark/>
          </w:tcPr>
          <w:p w:rsidR="001558A3" w:rsidRPr="00504D07" w:rsidRDefault="001558A3" w:rsidP="001558A3">
            <w:pPr>
              <w:pStyle w:val="LFTTabletext"/>
              <w:spacing w:before="60"/>
              <w:jc w:val="center"/>
              <w:rPr>
                <w:rFonts w:ascii="Times New Roman" w:hAnsi="Times New Roman" w:cs="Times New Roman"/>
                <w:sz w:val="22"/>
              </w:rPr>
            </w:pPr>
            <w:r>
              <w:rPr>
                <w:rFonts w:ascii="Times New Roman" w:hAnsi="Times New Roman" w:cs="Times New Roman"/>
                <w:sz w:val="22"/>
              </w:rPr>
              <w:t>ppm@</w:t>
            </w:r>
            <w:r w:rsidRPr="00504D07">
              <w:rPr>
                <w:rFonts w:ascii="Times New Roman" w:hAnsi="Times New Roman" w:cs="Times New Roman"/>
                <w:sz w:val="22"/>
              </w:rPr>
              <w:t>7%</w:t>
            </w:r>
            <w:r>
              <w:rPr>
                <w:rFonts w:ascii="Times New Roman" w:hAnsi="Times New Roman" w:cs="Times New Roman"/>
                <w:sz w:val="22"/>
              </w:rPr>
              <w:t xml:space="preserve"> </w:t>
            </w:r>
            <w:r w:rsidRPr="00504D07">
              <w:rPr>
                <w:rFonts w:ascii="Times New Roman" w:hAnsi="Times New Roman" w:cs="Times New Roman"/>
                <w:sz w:val="22"/>
              </w:rPr>
              <w:t>O</w:t>
            </w:r>
            <w:r w:rsidRPr="00504D07">
              <w:rPr>
                <w:rFonts w:ascii="Times New Roman" w:hAnsi="Times New Roman" w:cs="Times New Roman"/>
                <w:sz w:val="22"/>
                <w:vertAlign w:val="subscript"/>
              </w:rPr>
              <w:t>2</w:t>
            </w:r>
          </w:p>
        </w:tc>
        <w:tc>
          <w:tcPr>
            <w:tcW w:w="2160" w:type="dxa"/>
            <w:noWrap/>
            <w:vAlign w:val="center"/>
            <w:hideMark/>
          </w:tcPr>
          <w:p w:rsidR="001558A3" w:rsidRPr="00504D07" w:rsidRDefault="001558A3" w:rsidP="001558A3">
            <w:pPr>
              <w:pStyle w:val="LFTTabletext"/>
              <w:spacing w:before="60"/>
              <w:jc w:val="center"/>
              <w:rPr>
                <w:rFonts w:ascii="Times New Roman" w:hAnsi="Times New Roman" w:cs="Times New Roman"/>
                <w:sz w:val="22"/>
              </w:rPr>
            </w:pPr>
            <w:r w:rsidRPr="00504D07">
              <w:rPr>
                <w:rFonts w:ascii="Times New Roman" w:hAnsi="Times New Roman" w:cs="Times New Roman"/>
                <w:sz w:val="22"/>
              </w:rPr>
              <w:t>8</w:t>
            </w:r>
          </w:p>
        </w:tc>
        <w:tc>
          <w:tcPr>
            <w:tcW w:w="2340" w:type="dxa"/>
            <w:noWrap/>
            <w:vAlign w:val="center"/>
            <w:hideMark/>
          </w:tcPr>
          <w:p w:rsidR="001558A3" w:rsidRPr="00504D07" w:rsidRDefault="001558A3" w:rsidP="001558A3">
            <w:pPr>
              <w:pStyle w:val="LFTTabletext"/>
              <w:spacing w:before="60"/>
              <w:jc w:val="center"/>
              <w:rPr>
                <w:rFonts w:ascii="Times New Roman" w:hAnsi="Times New Roman" w:cs="Times New Roman"/>
                <w:sz w:val="22"/>
              </w:rPr>
            </w:pPr>
            <w:r w:rsidRPr="00504D07">
              <w:rPr>
                <w:rFonts w:ascii="Times New Roman" w:hAnsi="Times New Roman" w:cs="Times New Roman"/>
                <w:sz w:val="22"/>
              </w:rPr>
              <w:t>11</w:t>
            </w:r>
          </w:p>
        </w:tc>
        <w:tc>
          <w:tcPr>
            <w:tcW w:w="2070" w:type="dxa"/>
            <w:noWrap/>
            <w:vAlign w:val="center"/>
            <w:hideMark/>
          </w:tcPr>
          <w:p w:rsidR="001558A3" w:rsidRPr="00504D07" w:rsidRDefault="001558A3" w:rsidP="001558A3">
            <w:pPr>
              <w:pStyle w:val="LFTTabletext"/>
              <w:spacing w:before="60"/>
              <w:jc w:val="center"/>
              <w:rPr>
                <w:rFonts w:ascii="Times New Roman" w:hAnsi="Times New Roman" w:cs="Times New Roman"/>
                <w:sz w:val="22"/>
              </w:rPr>
            </w:pPr>
            <w:r w:rsidRPr="00504D07">
              <w:rPr>
                <w:rFonts w:ascii="Times New Roman" w:hAnsi="Times New Roman" w:cs="Times New Roman"/>
                <w:sz w:val="22"/>
              </w:rPr>
              <w:t>3</w:t>
            </w:r>
          </w:p>
        </w:tc>
      </w:tr>
      <w:tr w:rsidR="001558A3" w:rsidRPr="00504D07" w:rsidTr="005E2CAA">
        <w:trPr>
          <w:trHeight w:val="345"/>
        </w:trPr>
        <w:tc>
          <w:tcPr>
            <w:tcW w:w="1620" w:type="dxa"/>
            <w:noWrap/>
            <w:vAlign w:val="center"/>
            <w:hideMark/>
          </w:tcPr>
          <w:p w:rsidR="001558A3" w:rsidRPr="00504D07" w:rsidRDefault="001558A3" w:rsidP="001558A3">
            <w:pPr>
              <w:pStyle w:val="LFTTableheader2"/>
              <w:spacing w:before="60"/>
              <w:jc w:val="center"/>
              <w:rPr>
                <w:rFonts w:ascii="Times New Roman" w:hAnsi="Times New Roman" w:cs="Times New Roman"/>
                <w:b w:val="0"/>
                <w:sz w:val="22"/>
              </w:rPr>
            </w:pPr>
            <w:r w:rsidRPr="00504D07">
              <w:rPr>
                <w:rFonts w:ascii="Times New Roman" w:hAnsi="Times New Roman" w:cs="Times New Roman"/>
                <w:b w:val="0"/>
                <w:sz w:val="22"/>
              </w:rPr>
              <w:t>NO</w:t>
            </w:r>
            <w:r w:rsidRPr="00504D07">
              <w:rPr>
                <w:rFonts w:ascii="Times New Roman" w:hAnsi="Times New Roman" w:cs="Times New Roman"/>
                <w:b w:val="0"/>
                <w:sz w:val="22"/>
                <w:vertAlign w:val="subscript"/>
              </w:rPr>
              <w:t>X</w:t>
            </w:r>
          </w:p>
        </w:tc>
        <w:tc>
          <w:tcPr>
            <w:tcW w:w="1890" w:type="dxa"/>
            <w:noWrap/>
            <w:vAlign w:val="center"/>
            <w:hideMark/>
          </w:tcPr>
          <w:p w:rsidR="001558A3" w:rsidRPr="00504D07" w:rsidRDefault="001558A3" w:rsidP="001558A3">
            <w:pPr>
              <w:pStyle w:val="LFTTabletext"/>
              <w:spacing w:before="60"/>
              <w:jc w:val="center"/>
              <w:rPr>
                <w:rFonts w:ascii="Times New Roman" w:hAnsi="Times New Roman" w:cs="Times New Roman"/>
                <w:sz w:val="22"/>
              </w:rPr>
            </w:pPr>
            <w:r>
              <w:rPr>
                <w:rFonts w:ascii="Times New Roman" w:hAnsi="Times New Roman" w:cs="Times New Roman"/>
                <w:sz w:val="22"/>
              </w:rPr>
              <w:t>ppm@</w:t>
            </w:r>
            <w:r w:rsidRPr="00504D07">
              <w:rPr>
                <w:rFonts w:ascii="Times New Roman" w:hAnsi="Times New Roman" w:cs="Times New Roman"/>
                <w:sz w:val="22"/>
              </w:rPr>
              <w:t>7%</w:t>
            </w:r>
            <w:r>
              <w:rPr>
                <w:rFonts w:ascii="Times New Roman" w:hAnsi="Times New Roman" w:cs="Times New Roman"/>
                <w:sz w:val="22"/>
              </w:rPr>
              <w:t xml:space="preserve"> </w:t>
            </w:r>
            <w:r w:rsidRPr="00504D07">
              <w:rPr>
                <w:rFonts w:ascii="Times New Roman" w:hAnsi="Times New Roman" w:cs="Times New Roman"/>
                <w:sz w:val="22"/>
              </w:rPr>
              <w:t>O</w:t>
            </w:r>
            <w:r w:rsidRPr="00504D07">
              <w:rPr>
                <w:rFonts w:ascii="Times New Roman" w:hAnsi="Times New Roman" w:cs="Times New Roman"/>
                <w:sz w:val="22"/>
                <w:vertAlign w:val="subscript"/>
              </w:rPr>
              <w:t>2</w:t>
            </w:r>
          </w:p>
        </w:tc>
        <w:tc>
          <w:tcPr>
            <w:tcW w:w="2160" w:type="dxa"/>
            <w:noWrap/>
            <w:vAlign w:val="center"/>
            <w:hideMark/>
          </w:tcPr>
          <w:p w:rsidR="001558A3" w:rsidRPr="00504D07" w:rsidRDefault="001558A3" w:rsidP="001558A3">
            <w:pPr>
              <w:pStyle w:val="LFTTabletext"/>
              <w:spacing w:before="60"/>
              <w:jc w:val="center"/>
              <w:rPr>
                <w:rFonts w:ascii="Times New Roman" w:hAnsi="Times New Roman" w:cs="Times New Roman"/>
                <w:sz w:val="22"/>
              </w:rPr>
            </w:pPr>
            <w:r w:rsidRPr="00504D07">
              <w:rPr>
                <w:rFonts w:ascii="Times New Roman" w:hAnsi="Times New Roman" w:cs="Times New Roman"/>
                <w:sz w:val="22"/>
              </w:rPr>
              <w:t>145</w:t>
            </w:r>
          </w:p>
        </w:tc>
        <w:tc>
          <w:tcPr>
            <w:tcW w:w="2340" w:type="dxa"/>
            <w:noWrap/>
            <w:vAlign w:val="center"/>
            <w:hideMark/>
          </w:tcPr>
          <w:p w:rsidR="001558A3" w:rsidRPr="00504D07" w:rsidRDefault="001558A3" w:rsidP="001558A3">
            <w:pPr>
              <w:pStyle w:val="LFTTabletext"/>
              <w:spacing w:before="60"/>
              <w:jc w:val="center"/>
              <w:rPr>
                <w:rFonts w:ascii="Times New Roman" w:hAnsi="Times New Roman" w:cs="Times New Roman"/>
                <w:sz w:val="22"/>
              </w:rPr>
            </w:pPr>
            <w:r w:rsidRPr="00504D07">
              <w:rPr>
                <w:rFonts w:ascii="Times New Roman" w:hAnsi="Times New Roman" w:cs="Times New Roman"/>
                <w:sz w:val="22"/>
              </w:rPr>
              <w:t>151</w:t>
            </w:r>
          </w:p>
        </w:tc>
        <w:tc>
          <w:tcPr>
            <w:tcW w:w="2070" w:type="dxa"/>
            <w:noWrap/>
            <w:vAlign w:val="center"/>
            <w:hideMark/>
          </w:tcPr>
          <w:p w:rsidR="001558A3" w:rsidRPr="00504D07" w:rsidRDefault="001558A3" w:rsidP="001558A3">
            <w:pPr>
              <w:pStyle w:val="LFTTabletext"/>
              <w:spacing w:before="60"/>
              <w:jc w:val="center"/>
              <w:rPr>
                <w:rFonts w:ascii="Times New Roman" w:hAnsi="Times New Roman" w:cs="Times New Roman"/>
                <w:sz w:val="22"/>
              </w:rPr>
            </w:pPr>
            <w:r w:rsidRPr="00504D07">
              <w:rPr>
                <w:rFonts w:ascii="Times New Roman" w:hAnsi="Times New Roman" w:cs="Times New Roman"/>
                <w:sz w:val="22"/>
              </w:rPr>
              <w:t>6</w:t>
            </w:r>
          </w:p>
        </w:tc>
      </w:tr>
      <w:tr w:rsidR="005E2CAA" w:rsidRPr="00504D07" w:rsidTr="005E2CAA">
        <w:trPr>
          <w:trHeight w:val="345"/>
        </w:trPr>
        <w:tc>
          <w:tcPr>
            <w:tcW w:w="10080" w:type="dxa"/>
            <w:gridSpan w:val="5"/>
            <w:noWrap/>
            <w:vAlign w:val="center"/>
            <w:hideMark/>
          </w:tcPr>
          <w:p w:rsidR="005E2CAA" w:rsidRDefault="005E2CAA" w:rsidP="005E2CAA">
            <w:pPr>
              <w:pStyle w:val="LFTTabletext"/>
              <w:numPr>
                <w:ilvl w:val="0"/>
                <w:numId w:val="44"/>
              </w:numPr>
              <w:spacing w:before="60"/>
              <w:ind w:left="342"/>
              <w:rPr>
                <w:rFonts w:ascii="Times New Roman" w:hAnsi="Times New Roman" w:cs="Times New Roman"/>
                <w:sz w:val="22"/>
              </w:rPr>
            </w:pPr>
            <w:r>
              <w:rPr>
                <w:rFonts w:ascii="Times New Roman" w:hAnsi="Times New Roman" w:cs="Times New Roman"/>
                <w:sz w:val="22"/>
              </w:rPr>
              <w:t>µ</w:t>
            </w:r>
            <w:r w:rsidRPr="00504D07">
              <w:rPr>
                <w:rFonts w:ascii="Times New Roman" w:hAnsi="Times New Roman" w:cs="Times New Roman"/>
                <w:sz w:val="22"/>
              </w:rPr>
              <w:t>g/dscm</w:t>
            </w:r>
            <w:r>
              <w:rPr>
                <w:rFonts w:ascii="Times New Roman" w:hAnsi="Times New Roman" w:cs="Times New Roman"/>
                <w:sz w:val="22"/>
              </w:rPr>
              <w:t xml:space="preserve"> </w:t>
            </w:r>
            <w:r w:rsidRPr="00504D07">
              <w:rPr>
                <w:rFonts w:ascii="Times New Roman" w:hAnsi="Times New Roman" w:cs="Times New Roman"/>
                <w:sz w:val="22"/>
              </w:rPr>
              <w:t>@7%</w:t>
            </w:r>
            <w:r>
              <w:rPr>
                <w:rFonts w:ascii="Times New Roman" w:hAnsi="Times New Roman" w:cs="Times New Roman"/>
                <w:sz w:val="22"/>
              </w:rPr>
              <w:t xml:space="preserve"> </w:t>
            </w:r>
            <w:r w:rsidRPr="00504D07">
              <w:rPr>
                <w:rFonts w:ascii="Times New Roman" w:hAnsi="Times New Roman" w:cs="Times New Roman"/>
                <w:sz w:val="22"/>
              </w:rPr>
              <w:t>O</w:t>
            </w:r>
            <w:r w:rsidRPr="00504D07">
              <w:rPr>
                <w:rFonts w:ascii="Times New Roman" w:hAnsi="Times New Roman" w:cs="Times New Roman"/>
                <w:sz w:val="22"/>
                <w:vertAlign w:val="subscript"/>
              </w:rPr>
              <w:t>2</w:t>
            </w:r>
            <w:r>
              <w:rPr>
                <w:rFonts w:ascii="Times New Roman" w:hAnsi="Times New Roman" w:cs="Times New Roman"/>
                <w:sz w:val="22"/>
              </w:rPr>
              <w:t xml:space="preserve"> means micrograms per cubic meter corrected to 7 percent oxygen.</w:t>
            </w:r>
          </w:p>
          <w:p w:rsidR="005E2CAA" w:rsidRPr="00504D07" w:rsidRDefault="005E2CAA" w:rsidP="005E2CAA">
            <w:pPr>
              <w:pStyle w:val="LFTTabletext"/>
              <w:numPr>
                <w:ilvl w:val="0"/>
                <w:numId w:val="44"/>
              </w:numPr>
              <w:spacing w:before="60"/>
              <w:ind w:left="342"/>
              <w:rPr>
                <w:rFonts w:ascii="Times New Roman" w:hAnsi="Times New Roman" w:cs="Times New Roman"/>
                <w:sz w:val="22"/>
              </w:rPr>
            </w:pPr>
            <w:proofErr w:type="gramStart"/>
            <w:r>
              <w:rPr>
                <w:rFonts w:ascii="Times New Roman" w:hAnsi="Times New Roman" w:cs="Times New Roman"/>
                <w:sz w:val="22"/>
              </w:rPr>
              <w:t>ppm</w:t>
            </w:r>
            <w:proofErr w:type="gramEnd"/>
            <w:r>
              <w:rPr>
                <w:rFonts w:ascii="Times New Roman" w:hAnsi="Times New Roman" w:cs="Times New Roman"/>
                <w:sz w:val="22"/>
              </w:rPr>
              <w:t xml:space="preserve"> @7% O</w:t>
            </w:r>
            <w:r w:rsidRPr="005E2CAA">
              <w:rPr>
                <w:rFonts w:ascii="Times New Roman" w:hAnsi="Times New Roman" w:cs="Times New Roman"/>
                <w:sz w:val="22"/>
                <w:vertAlign w:val="subscript"/>
              </w:rPr>
              <w:t>2</w:t>
            </w:r>
            <w:r>
              <w:rPr>
                <w:rFonts w:ascii="Times New Roman" w:hAnsi="Times New Roman" w:cs="Times New Roman"/>
                <w:sz w:val="22"/>
              </w:rPr>
              <w:t xml:space="preserve"> means parts per million by volume, dry, corrected to 7% O</w:t>
            </w:r>
            <w:r w:rsidRPr="005E2CAA">
              <w:rPr>
                <w:rFonts w:ascii="Times New Roman" w:hAnsi="Times New Roman" w:cs="Times New Roman"/>
                <w:sz w:val="22"/>
                <w:vertAlign w:val="subscript"/>
              </w:rPr>
              <w:t>2</w:t>
            </w:r>
            <w:r>
              <w:rPr>
                <w:rFonts w:ascii="Times New Roman" w:hAnsi="Times New Roman" w:cs="Times New Roman"/>
                <w:sz w:val="22"/>
              </w:rPr>
              <w:t>.</w:t>
            </w:r>
          </w:p>
        </w:tc>
      </w:tr>
    </w:tbl>
    <w:p w:rsidR="00AF692B" w:rsidRDefault="001558A3" w:rsidP="001558A3">
      <w:pPr>
        <w:pStyle w:val="LFTBody"/>
        <w:spacing w:before="120" w:after="120"/>
        <w:rPr>
          <w:rFonts w:ascii="Times New Roman" w:hAnsi="Times New Roman" w:cs="Times New Roman"/>
          <w:sz w:val="22"/>
        </w:rPr>
      </w:pPr>
      <w:r w:rsidRPr="00504D07">
        <w:rPr>
          <w:rFonts w:ascii="Times New Roman" w:hAnsi="Times New Roman" w:cs="Times New Roman"/>
          <w:sz w:val="22"/>
        </w:rPr>
        <w:t>The test burn indicates that the co-</w:t>
      </w:r>
      <w:r>
        <w:rPr>
          <w:rFonts w:ascii="Times New Roman" w:hAnsi="Times New Roman" w:cs="Times New Roman"/>
          <w:sz w:val="22"/>
        </w:rPr>
        <w:t xml:space="preserve">firing </w:t>
      </w:r>
      <w:r w:rsidRPr="00504D07">
        <w:rPr>
          <w:rFonts w:ascii="Times New Roman" w:hAnsi="Times New Roman" w:cs="Times New Roman"/>
          <w:sz w:val="22"/>
        </w:rPr>
        <w:t>5</w:t>
      </w:r>
      <w:r>
        <w:rPr>
          <w:rFonts w:ascii="Times New Roman" w:hAnsi="Times New Roman" w:cs="Times New Roman"/>
          <w:sz w:val="22"/>
        </w:rPr>
        <w:t xml:space="preserve">% </w:t>
      </w:r>
      <w:proofErr w:type="spellStart"/>
      <w:r w:rsidRPr="00504D07">
        <w:rPr>
          <w:rFonts w:ascii="Times New Roman" w:hAnsi="Times New Roman" w:cs="Times New Roman"/>
          <w:sz w:val="22"/>
        </w:rPr>
        <w:t>biosolids</w:t>
      </w:r>
      <w:proofErr w:type="spellEnd"/>
      <w:r w:rsidRPr="00504D07">
        <w:rPr>
          <w:rFonts w:ascii="Times New Roman" w:hAnsi="Times New Roman" w:cs="Times New Roman"/>
          <w:sz w:val="22"/>
        </w:rPr>
        <w:t xml:space="preserve"> does not have a </w:t>
      </w:r>
      <w:r>
        <w:rPr>
          <w:rFonts w:ascii="Times New Roman" w:hAnsi="Times New Roman" w:cs="Times New Roman"/>
          <w:sz w:val="22"/>
        </w:rPr>
        <w:t xml:space="preserve">much </w:t>
      </w:r>
      <w:r w:rsidRPr="00504D07">
        <w:rPr>
          <w:rFonts w:ascii="Times New Roman" w:hAnsi="Times New Roman" w:cs="Times New Roman"/>
          <w:sz w:val="22"/>
        </w:rPr>
        <w:t xml:space="preserve">effect on </w:t>
      </w:r>
      <w:r>
        <w:rPr>
          <w:rFonts w:ascii="Times New Roman" w:hAnsi="Times New Roman" w:cs="Times New Roman"/>
          <w:sz w:val="22"/>
        </w:rPr>
        <w:t xml:space="preserve">key exhaust gas </w:t>
      </w:r>
      <w:r w:rsidRPr="00504D07">
        <w:rPr>
          <w:rFonts w:ascii="Times New Roman" w:hAnsi="Times New Roman" w:cs="Times New Roman"/>
          <w:sz w:val="22"/>
        </w:rPr>
        <w:t>stack concentrations of air pollutants emission rates.</w:t>
      </w:r>
      <w:r w:rsidRPr="00EA1EF5">
        <w:rPr>
          <w:rFonts w:ascii="Times New Roman" w:hAnsi="Times New Roman" w:cs="Times New Roman"/>
          <w:sz w:val="22"/>
        </w:rPr>
        <w:t xml:space="preserve"> </w:t>
      </w:r>
      <w:r>
        <w:rPr>
          <w:rFonts w:ascii="Times New Roman" w:hAnsi="Times New Roman" w:cs="Times New Roman"/>
          <w:sz w:val="22"/>
        </w:rPr>
        <w:t xml:space="preserve"> However, even the seemingly small effect on NO</w:t>
      </w:r>
      <w:r w:rsidRPr="003960D3">
        <w:rPr>
          <w:rFonts w:ascii="Times New Roman" w:hAnsi="Times New Roman" w:cs="Times New Roman"/>
          <w:sz w:val="22"/>
          <w:vertAlign w:val="subscript"/>
        </w:rPr>
        <w:t>X</w:t>
      </w:r>
      <w:r>
        <w:rPr>
          <w:rFonts w:ascii="Times New Roman" w:hAnsi="Times New Roman" w:cs="Times New Roman"/>
          <w:sz w:val="22"/>
        </w:rPr>
        <w:t xml:space="preserve"> (4% increase) can be significant with respect to PSD.  For example, NO</w:t>
      </w:r>
      <w:r w:rsidRPr="000A4D90">
        <w:rPr>
          <w:rFonts w:ascii="Times New Roman" w:hAnsi="Times New Roman" w:cs="Times New Roman"/>
          <w:sz w:val="22"/>
          <w:vertAlign w:val="subscript"/>
        </w:rPr>
        <w:t>X</w:t>
      </w:r>
      <w:r>
        <w:rPr>
          <w:rFonts w:ascii="Times New Roman" w:hAnsi="Times New Roman" w:cs="Times New Roman"/>
          <w:sz w:val="22"/>
        </w:rPr>
        <w:t xml:space="preserve"> emissions from the Hillsborough County RRF were approximately 900 tons/year during recent years</w:t>
      </w:r>
      <w:r w:rsidR="00C129AD">
        <w:rPr>
          <w:rFonts w:ascii="Times New Roman" w:hAnsi="Times New Roman" w:cs="Times New Roman"/>
          <w:sz w:val="22"/>
        </w:rPr>
        <w:t xml:space="preserve">.  </w:t>
      </w:r>
      <w:r w:rsidR="00AF692B">
        <w:rPr>
          <w:rFonts w:ascii="Times New Roman" w:hAnsi="Times New Roman" w:cs="Times New Roman"/>
          <w:sz w:val="22"/>
        </w:rPr>
        <w:t>If not abated by addition reagent injection, a</w:t>
      </w:r>
      <w:r w:rsidR="00C129AD">
        <w:rPr>
          <w:rFonts w:ascii="Times New Roman" w:hAnsi="Times New Roman" w:cs="Times New Roman"/>
          <w:sz w:val="22"/>
        </w:rPr>
        <w:t xml:space="preserve">n increase </w:t>
      </w:r>
      <w:r>
        <w:rPr>
          <w:rFonts w:ascii="Times New Roman" w:hAnsi="Times New Roman" w:cs="Times New Roman"/>
          <w:sz w:val="22"/>
        </w:rPr>
        <w:t xml:space="preserve">of just </w:t>
      </w:r>
      <w:r w:rsidR="00C129AD">
        <w:rPr>
          <w:rFonts w:ascii="Times New Roman" w:hAnsi="Times New Roman" w:cs="Times New Roman"/>
          <w:sz w:val="22"/>
        </w:rPr>
        <w:t>6 ppm @7% O</w:t>
      </w:r>
      <w:r w:rsidR="00C129AD" w:rsidRPr="00C129AD">
        <w:rPr>
          <w:rFonts w:ascii="Times New Roman" w:hAnsi="Times New Roman" w:cs="Times New Roman"/>
          <w:sz w:val="22"/>
          <w:vertAlign w:val="subscript"/>
        </w:rPr>
        <w:t>2</w:t>
      </w:r>
      <w:r w:rsidR="00C129AD">
        <w:rPr>
          <w:rFonts w:ascii="Times New Roman" w:hAnsi="Times New Roman" w:cs="Times New Roman"/>
          <w:sz w:val="22"/>
        </w:rPr>
        <w:t xml:space="preserve"> (such as observed at Lee County RRF during the relatively short test) would result in an annualized increase of approximately </w:t>
      </w:r>
      <w:r>
        <w:rPr>
          <w:rFonts w:ascii="Times New Roman" w:hAnsi="Times New Roman" w:cs="Times New Roman"/>
          <w:sz w:val="22"/>
        </w:rPr>
        <w:t>36 tons/year</w:t>
      </w:r>
      <w:r w:rsidR="00AF692B">
        <w:rPr>
          <w:rFonts w:ascii="Times New Roman" w:hAnsi="Times New Roman" w:cs="Times New Roman"/>
          <w:sz w:val="22"/>
        </w:rPr>
        <w:t xml:space="preserve"> of NO</w:t>
      </w:r>
      <w:r w:rsidR="00AF692B" w:rsidRPr="00AF692B">
        <w:rPr>
          <w:rFonts w:ascii="Times New Roman" w:hAnsi="Times New Roman" w:cs="Times New Roman"/>
          <w:sz w:val="22"/>
          <w:vertAlign w:val="subscript"/>
        </w:rPr>
        <w:t>X</w:t>
      </w:r>
      <w:r w:rsidR="00C129AD">
        <w:rPr>
          <w:rFonts w:ascii="Times New Roman" w:hAnsi="Times New Roman" w:cs="Times New Roman"/>
          <w:sz w:val="22"/>
        </w:rPr>
        <w:t xml:space="preserve">.  This value is close to the </w:t>
      </w:r>
      <w:r>
        <w:rPr>
          <w:rFonts w:ascii="Times New Roman" w:hAnsi="Times New Roman" w:cs="Times New Roman"/>
          <w:sz w:val="22"/>
        </w:rPr>
        <w:t xml:space="preserve">SER of 40 tons/year if the cause of the increase was </w:t>
      </w:r>
      <w:proofErr w:type="spellStart"/>
      <w:r>
        <w:rPr>
          <w:rFonts w:ascii="Times New Roman" w:hAnsi="Times New Roman" w:cs="Times New Roman"/>
          <w:sz w:val="22"/>
        </w:rPr>
        <w:t>biosolids</w:t>
      </w:r>
      <w:proofErr w:type="spellEnd"/>
      <w:r>
        <w:rPr>
          <w:rFonts w:ascii="Times New Roman" w:hAnsi="Times New Roman" w:cs="Times New Roman"/>
          <w:sz w:val="22"/>
        </w:rPr>
        <w:t xml:space="preserve"> use</w:t>
      </w:r>
      <w:r w:rsidR="00C129AD">
        <w:rPr>
          <w:rFonts w:ascii="Times New Roman" w:hAnsi="Times New Roman" w:cs="Times New Roman"/>
          <w:sz w:val="22"/>
        </w:rPr>
        <w:t xml:space="preserve"> (and not just normal variability)</w:t>
      </w:r>
      <w:r>
        <w:rPr>
          <w:rFonts w:ascii="Times New Roman" w:hAnsi="Times New Roman" w:cs="Times New Roman"/>
          <w:sz w:val="22"/>
        </w:rPr>
        <w:t>.</w:t>
      </w:r>
    </w:p>
    <w:p w:rsidR="00AF692B" w:rsidRPr="00373374" w:rsidRDefault="00AF692B" w:rsidP="001558A3">
      <w:pPr>
        <w:pStyle w:val="LFTBody"/>
        <w:spacing w:before="120" w:after="120"/>
        <w:rPr>
          <w:rFonts w:ascii="Times New Roman" w:hAnsi="Times New Roman" w:cs="Times New Roman"/>
          <w:sz w:val="22"/>
        </w:rPr>
      </w:pPr>
      <w:r w:rsidRPr="00373374">
        <w:rPr>
          <w:rFonts w:ascii="Times New Roman" w:hAnsi="Times New Roman" w:cs="Times New Roman"/>
          <w:sz w:val="22"/>
        </w:rPr>
        <w:t xml:space="preserve">An increase in CO was not observed at Lee County during the test period although a small increase would be expected.  The applicant’s consultant for the present project advised:  </w:t>
      </w:r>
    </w:p>
    <w:p w:rsidR="00AF692B" w:rsidRPr="00373374" w:rsidRDefault="00AF692B" w:rsidP="00AF692B">
      <w:pPr>
        <w:pStyle w:val="LFTBody"/>
        <w:spacing w:before="120" w:after="120"/>
        <w:ind w:left="360" w:right="504"/>
        <w:jc w:val="both"/>
        <w:rPr>
          <w:rFonts w:ascii="Times New Roman" w:hAnsi="Times New Roman" w:cs="Times New Roman"/>
          <w:sz w:val="22"/>
        </w:rPr>
      </w:pPr>
      <w:r w:rsidRPr="00373374">
        <w:rPr>
          <w:rFonts w:ascii="Times New Roman" w:hAnsi="Times New Roman" w:cs="Times New Roman"/>
          <w:sz w:val="22"/>
        </w:rPr>
        <w:t>“</w:t>
      </w:r>
      <w:r w:rsidRPr="00373374">
        <w:rPr>
          <w:rFonts w:ascii="Times New Roman" w:hAnsi="Times New Roman" w:cs="Times New Roman"/>
          <w:i/>
          <w:sz w:val="22"/>
        </w:rPr>
        <w:t>In order to address your concern about possible slugs of moist material affecting continuous CO compliance, the Facility operators will use Good Combustion Practices (GCP), good mixing practices, and control of air pollution control equipment reagent injection rates to manage all regulated pollutants in compliance with permitted concentrations.”</w:t>
      </w:r>
    </w:p>
    <w:p w:rsidR="001558A3" w:rsidRPr="00373374" w:rsidRDefault="00C129AD" w:rsidP="001558A3">
      <w:pPr>
        <w:spacing w:before="120" w:after="120"/>
        <w:rPr>
          <w:sz w:val="22"/>
          <w:szCs w:val="22"/>
        </w:rPr>
      </w:pPr>
      <w:r w:rsidRPr="00373374">
        <w:rPr>
          <w:sz w:val="22"/>
          <w:szCs w:val="22"/>
        </w:rPr>
        <w:t>The Department concludes</w:t>
      </w:r>
      <w:r w:rsidR="00450652" w:rsidRPr="00373374">
        <w:rPr>
          <w:sz w:val="22"/>
          <w:szCs w:val="22"/>
        </w:rPr>
        <w:t xml:space="preserve">, </w:t>
      </w:r>
      <w:r w:rsidRPr="00373374">
        <w:rPr>
          <w:sz w:val="22"/>
          <w:szCs w:val="22"/>
        </w:rPr>
        <w:t xml:space="preserve">based upon </w:t>
      </w:r>
      <w:r w:rsidR="001558A3" w:rsidRPr="00373374">
        <w:rPr>
          <w:sz w:val="22"/>
          <w:szCs w:val="22"/>
        </w:rPr>
        <w:t>results from the Lee County RRF</w:t>
      </w:r>
      <w:r w:rsidR="00450652" w:rsidRPr="00373374">
        <w:rPr>
          <w:sz w:val="22"/>
          <w:szCs w:val="22"/>
        </w:rPr>
        <w:t>,</w:t>
      </w:r>
      <w:r w:rsidRPr="00373374">
        <w:rPr>
          <w:sz w:val="22"/>
          <w:szCs w:val="22"/>
        </w:rPr>
        <w:t xml:space="preserve"> its own review of the proposed project, control equipment and monitoring </w:t>
      </w:r>
      <w:proofErr w:type="gramStart"/>
      <w:r w:rsidRPr="00373374">
        <w:rPr>
          <w:sz w:val="22"/>
          <w:szCs w:val="22"/>
        </w:rPr>
        <w:t>requirements, that</w:t>
      </w:r>
      <w:proofErr w:type="gramEnd"/>
      <w:r w:rsidRPr="00373374">
        <w:rPr>
          <w:sz w:val="22"/>
          <w:szCs w:val="22"/>
        </w:rPr>
        <w:t xml:space="preserve"> increases in PSD-pollutants are </w:t>
      </w:r>
      <w:r w:rsidR="00AF692B" w:rsidRPr="00373374">
        <w:rPr>
          <w:sz w:val="22"/>
          <w:szCs w:val="22"/>
        </w:rPr>
        <w:t xml:space="preserve">readily abated or </w:t>
      </w:r>
      <w:r w:rsidR="001558A3" w:rsidRPr="00373374">
        <w:rPr>
          <w:sz w:val="22"/>
          <w:szCs w:val="22"/>
        </w:rPr>
        <w:t xml:space="preserve">manageable at 5% </w:t>
      </w:r>
      <w:proofErr w:type="spellStart"/>
      <w:r w:rsidR="001558A3" w:rsidRPr="00373374">
        <w:rPr>
          <w:sz w:val="22"/>
          <w:szCs w:val="22"/>
        </w:rPr>
        <w:t>biosolids</w:t>
      </w:r>
      <w:proofErr w:type="spellEnd"/>
      <w:r w:rsidR="001558A3" w:rsidRPr="00373374">
        <w:rPr>
          <w:sz w:val="22"/>
          <w:szCs w:val="22"/>
        </w:rPr>
        <w:t xml:space="preserve"> use</w:t>
      </w:r>
      <w:r w:rsidRPr="00373374">
        <w:rPr>
          <w:sz w:val="22"/>
          <w:szCs w:val="22"/>
        </w:rPr>
        <w:t xml:space="preserve"> and will be less than the respective SER</w:t>
      </w:r>
      <w:r w:rsidR="001558A3" w:rsidRPr="00373374">
        <w:rPr>
          <w:sz w:val="22"/>
          <w:szCs w:val="22"/>
        </w:rPr>
        <w:t xml:space="preserve">.  </w:t>
      </w:r>
      <w:r w:rsidRPr="00373374">
        <w:rPr>
          <w:sz w:val="22"/>
          <w:szCs w:val="22"/>
        </w:rPr>
        <w:t>Therefore a more detailed assessment of PSD applicability based upon comparisons of future actual emissions to baseline actual emissions is not required to conclude that PSD will not be triggered by this project.</w:t>
      </w:r>
    </w:p>
    <w:p w:rsidR="005E2CAA" w:rsidRDefault="004022EC" w:rsidP="00F04A3F">
      <w:pPr>
        <w:autoSpaceDE w:val="0"/>
        <w:autoSpaceDN w:val="0"/>
        <w:adjustRightInd w:val="0"/>
        <w:spacing w:after="120"/>
        <w:rPr>
          <w:sz w:val="22"/>
          <w:szCs w:val="22"/>
        </w:rPr>
      </w:pPr>
      <w:r>
        <w:rPr>
          <w:sz w:val="22"/>
          <w:szCs w:val="22"/>
        </w:rPr>
        <w:t xml:space="preserve">The </w:t>
      </w:r>
      <w:r w:rsidR="00DD69B5">
        <w:rPr>
          <w:sz w:val="22"/>
          <w:szCs w:val="22"/>
        </w:rPr>
        <w:t xml:space="preserve">information in Table 6 above </w:t>
      </w:r>
      <w:r w:rsidR="005E2CAA">
        <w:rPr>
          <w:sz w:val="22"/>
          <w:szCs w:val="22"/>
        </w:rPr>
        <w:t xml:space="preserve">from the Lee County test </w:t>
      </w:r>
      <w:r w:rsidR="00DD69B5">
        <w:rPr>
          <w:sz w:val="22"/>
          <w:szCs w:val="22"/>
        </w:rPr>
        <w:t xml:space="preserve">is sufficient to conclude that any changes </w:t>
      </w:r>
      <w:r w:rsidR="000D0C48">
        <w:rPr>
          <w:sz w:val="22"/>
          <w:szCs w:val="22"/>
        </w:rPr>
        <w:t xml:space="preserve">in </w:t>
      </w:r>
      <w:r w:rsidR="00AF692B">
        <w:rPr>
          <w:sz w:val="22"/>
          <w:szCs w:val="22"/>
        </w:rPr>
        <w:t xml:space="preserve">the </w:t>
      </w:r>
      <w:r w:rsidR="000D0C48">
        <w:rPr>
          <w:sz w:val="22"/>
          <w:szCs w:val="22"/>
        </w:rPr>
        <w:t>exhaust gas concentrations of key metals (</w:t>
      </w:r>
      <w:r w:rsidR="0066022A">
        <w:rPr>
          <w:sz w:val="22"/>
          <w:szCs w:val="22"/>
        </w:rPr>
        <w:t xml:space="preserve">Pb, Hg </w:t>
      </w:r>
      <w:r w:rsidR="000D0C48">
        <w:rPr>
          <w:sz w:val="22"/>
          <w:szCs w:val="22"/>
        </w:rPr>
        <w:t xml:space="preserve">and </w:t>
      </w:r>
      <w:proofErr w:type="spellStart"/>
      <w:r w:rsidR="0066022A">
        <w:rPr>
          <w:sz w:val="22"/>
          <w:szCs w:val="22"/>
        </w:rPr>
        <w:t>Cd</w:t>
      </w:r>
      <w:proofErr w:type="spellEnd"/>
      <w:r w:rsidR="0066022A">
        <w:rPr>
          <w:sz w:val="22"/>
          <w:szCs w:val="22"/>
        </w:rPr>
        <w:t>)</w:t>
      </w:r>
      <w:r w:rsidR="000D0C48">
        <w:rPr>
          <w:sz w:val="22"/>
          <w:szCs w:val="22"/>
        </w:rPr>
        <w:t xml:space="preserve"> </w:t>
      </w:r>
      <w:r w:rsidR="005E2CAA">
        <w:rPr>
          <w:sz w:val="22"/>
          <w:szCs w:val="22"/>
        </w:rPr>
        <w:t xml:space="preserve">caused by utilization of </w:t>
      </w:r>
      <w:proofErr w:type="spellStart"/>
      <w:r w:rsidR="005E2CAA">
        <w:rPr>
          <w:sz w:val="22"/>
          <w:szCs w:val="22"/>
        </w:rPr>
        <w:t>biosolids</w:t>
      </w:r>
      <w:proofErr w:type="spellEnd"/>
      <w:r w:rsidR="005E2CAA">
        <w:rPr>
          <w:sz w:val="22"/>
          <w:szCs w:val="22"/>
        </w:rPr>
        <w:t xml:space="preserve"> </w:t>
      </w:r>
      <w:r>
        <w:rPr>
          <w:sz w:val="22"/>
          <w:szCs w:val="22"/>
        </w:rPr>
        <w:t xml:space="preserve">will </w:t>
      </w:r>
      <w:r w:rsidR="00450652">
        <w:rPr>
          <w:sz w:val="22"/>
          <w:szCs w:val="22"/>
        </w:rPr>
        <w:t xml:space="preserve">not be </w:t>
      </w:r>
      <w:r w:rsidR="005E2CAA">
        <w:rPr>
          <w:sz w:val="22"/>
          <w:szCs w:val="22"/>
        </w:rPr>
        <w:t xml:space="preserve">of concern.  The apparent reduction in Hg emissions when burning </w:t>
      </w:r>
      <w:proofErr w:type="spellStart"/>
      <w:r w:rsidR="005E2CAA">
        <w:rPr>
          <w:sz w:val="22"/>
          <w:szCs w:val="22"/>
        </w:rPr>
        <w:t>biosolids</w:t>
      </w:r>
      <w:proofErr w:type="spellEnd"/>
      <w:r w:rsidR="005E2CAA">
        <w:rPr>
          <w:sz w:val="22"/>
          <w:szCs w:val="22"/>
        </w:rPr>
        <w:t xml:space="preserve"> is actually due to normal variations from test to test.  Even if the </w:t>
      </w:r>
      <w:proofErr w:type="spellStart"/>
      <w:r w:rsidR="005E2CAA">
        <w:rPr>
          <w:sz w:val="22"/>
          <w:szCs w:val="22"/>
        </w:rPr>
        <w:t>biosolids</w:t>
      </w:r>
      <w:proofErr w:type="spellEnd"/>
      <w:r w:rsidR="005E2CAA">
        <w:rPr>
          <w:sz w:val="22"/>
          <w:szCs w:val="22"/>
        </w:rPr>
        <w:t xml:space="preserve"> contained no Hg, </w:t>
      </w:r>
      <w:r w:rsidR="001521D7">
        <w:rPr>
          <w:sz w:val="22"/>
          <w:szCs w:val="22"/>
        </w:rPr>
        <w:t>such utilization could not cause a reduction greater than a few percent in Hg</w:t>
      </w:r>
      <w:r w:rsidR="005E2CAA">
        <w:rPr>
          <w:sz w:val="22"/>
          <w:szCs w:val="22"/>
        </w:rPr>
        <w:t>.</w:t>
      </w:r>
    </w:p>
    <w:p w:rsidR="007364E6" w:rsidRPr="00927B42" w:rsidRDefault="008C1C3A" w:rsidP="00F04A3F">
      <w:pPr>
        <w:autoSpaceDE w:val="0"/>
        <w:autoSpaceDN w:val="0"/>
        <w:adjustRightInd w:val="0"/>
        <w:spacing w:after="120"/>
        <w:rPr>
          <w:sz w:val="22"/>
          <w:szCs w:val="22"/>
        </w:rPr>
      </w:pPr>
      <w:r>
        <w:rPr>
          <w:sz w:val="22"/>
          <w:szCs w:val="22"/>
        </w:rPr>
        <w:lastRenderedPageBreak/>
        <w:t xml:space="preserve">Table </w:t>
      </w:r>
      <w:r w:rsidR="00450652">
        <w:rPr>
          <w:sz w:val="22"/>
          <w:szCs w:val="22"/>
        </w:rPr>
        <w:t>7</w:t>
      </w:r>
      <w:r>
        <w:rPr>
          <w:sz w:val="22"/>
          <w:szCs w:val="22"/>
        </w:rPr>
        <w:t xml:space="preserve"> is a summary of the applicant’s assessment</w:t>
      </w:r>
      <w:r w:rsidR="001521D7">
        <w:rPr>
          <w:sz w:val="22"/>
          <w:szCs w:val="22"/>
        </w:rPr>
        <w:t xml:space="preserve"> for the present project assuming 10% instead of 5% </w:t>
      </w:r>
      <w:proofErr w:type="spellStart"/>
      <w:r w:rsidR="001521D7">
        <w:rPr>
          <w:sz w:val="22"/>
          <w:szCs w:val="22"/>
        </w:rPr>
        <w:t>biosolids</w:t>
      </w:r>
      <w:proofErr w:type="spellEnd"/>
      <w:r w:rsidR="001521D7">
        <w:rPr>
          <w:sz w:val="22"/>
          <w:szCs w:val="22"/>
        </w:rPr>
        <w:t xml:space="preserve"> utilization</w:t>
      </w:r>
      <w:r>
        <w:rPr>
          <w:sz w:val="22"/>
          <w:szCs w:val="22"/>
        </w:rPr>
        <w:t xml:space="preserve">.  The results of 2011 stack tests indicate that emission concentrations of Hg, Pb and </w:t>
      </w:r>
      <w:proofErr w:type="spellStart"/>
      <w:r>
        <w:rPr>
          <w:sz w:val="22"/>
          <w:szCs w:val="22"/>
        </w:rPr>
        <w:t>Cd</w:t>
      </w:r>
      <w:proofErr w:type="spellEnd"/>
      <w:r>
        <w:rPr>
          <w:sz w:val="22"/>
          <w:szCs w:val="22"/>
        </w:rPr>
        <w:t xml:space="preserve"> are </w:t>
      </w:r>
      <w:r w:rsidR="001521D7">
        <w:rPr>
          <w:sz w:val="22"/>
          <w:szCs w:val="22"/>
        </w:rPr>
        <w:t xml:space="preserve">presently </w:t>
      </w:r>
      <w:r w:rsidR="001521D7">
        <w:rPr>
          <w:sz w:val="22"/>
          <w:szCs w:val="22"/>
        </w:rPr>
        <w:br/>
      </w:r>
      <w:r w:rsidR="008720BC">
        <w:rPr>
          <w:sz w:val="22"/>
          <w:szCs w:val="22"/>
        </w:rPr>
        <w:t xml:space="preserve">1 to 3 orders of magnitude </w:t>
      </w:r>
      <w:r>
        <w:rPr>
          <w:sz w:val="22"/>
          <w:szCs w:val="22"/>
        </w:rPr>
        <w:t xml:space="preserve">less than the respective emission standards.  Based on the applicant’s conservative assumption that the control equipment will remove 85% of these species, future concentrations will continue to </w:t>
      </w:r>
      <w:r w:rsidR="00FA13D9">
        <w:rPr>
          <w:sz w:val="22"/>
          <w:szCs w:val="22"/>
        </w:rPr>
        <w:t>be much less than the respective applicable emission standards.</w:t>
      </w:r>
      <w:r>
        <w:rPr>
          <w:sz w:val="22"/>
          <w:szCs w:val="22"/>
        </w:rPr>
        <w:t xml:space="preserve"> </w:t>
      </w:r>
    </w:p>
    <w:p w:rsidR="00D05EE3" w:rsidRPr="00927B42" w:rsidRDefault="00D05EE3" w:rsidP="00D05EE3">
      <w:pPr>
        <w:pStyle w:val="LFTTableTitle"/>
        <w:rPr>
          <w:rFonts w:ascii="Times New Roman" w:hAnsi="Times New Roman" w:cs="Times New Roman"/>
        </w:rPr>
      </w:pPr>
      <w:proofErr w:type="gramStart"/>
      <w:r w:rsidRPr="00927B42">
        <w:rPr>
          <w:rFonts w:ascii="Times New Roman" w:hAnsi="Times New Roman" w:cs="Times New Roman"/>
        </w:rPr>
        <w:t xml:space="preserve">Table </w:t>
      </w:r>
      <w:r w:rsidR="00450652">
        <w:rPr>
          <w:rFonts w:ascii="Times New Roman" w:hAnsi="Times New Roman" w:cs="Times New Roman"/>
        </w:rPr>
        <w:t>7</w:t>
      </w:r>
      <w:r w:rsidR="0066022A">
        <w:rPr>
          <w:rFonts w:ascii="Times New Roman" w:hAnsi="Times New Roman" w:cs="Times New Roman"/>
        </w:rPr>
        <w:t>.</w:t>
      </w:r>
      <w:proofErr w:type="gramEnd"/>
      <w:r w:rsidRPr="00927B42">
        <w:rPr>
          <w:rFonts w:ascii="Times New Roman" w:hAnsi="Times New Roman" w:cs="Times New Roman"/>
        </w:rPr>
        <w:t xml:space="preserve">  </w:t>
      </w:r>
      <w:r w:rsidR="0066022A">
        <w:rPr>
          <w:rFonts w:ascii="Times New Roman" w:hAnsi="Times New Roman" w:cs="Times New Roman"/>
        </w:rPr>
        <w:t xml:space="preserve">Applicant’s Assessment of </w:t>
      </w:r>
      <w:r w:rsidR="007436D4">
        <w:rPr>
          <w:rFonts w:ascii="Times New Roman" w:hAnsi="Times New Roman" w:cs="Times New Roman"/>
        </w:rPr>
        <w:t>10</w:t>
      </w:r>
      <w:r w:rsidR="00860D79">
        <w:rPr>
          <w:rFonts w:ascii="Times New Roman" w:hAnsi="Times New Roman" w:cs="Times New Roman"/>
        </w:rPr>
        <w:t xml:space="preserve">% </w:t>
      </w:r>
      <w:proofErr w:type="spellStart"/>
      <w:r w:rsidRPr="00927B42">
        <w:rPr>
          <w:rFonts w:ascii="Times New Roman" w:hAnsi="Times New Roman" w:cs="Times New Roman"/>
        </w:rPr>
        <w:t>Biosolids</w:t>
      </w:r>
      <w:proofErr w:type="spellEnd"/>
      <w:r w:rsidRPr="00927B42">
        <w:rPr>
          <w:rFonts w:ascii="Times New Roman" w:hAnsi="Times New Roman" w:cs="Times New Roman"/>
        </w:rPr>
        <w:t xml:space="preserve"> </w:t>
      </w:r>
      <w:r w:rsidR="0066022A">
        <w:rPr>
          <w:rFonts w:ascii="Times New Roman" w:hAnsi="Times New Roman" w:cs="Times New Roman"/>
        </w:rPr>
        <w:t>Combustion on Exhaust Gas Hg, Cd and Pb Concentrations.</w:t>
      </w:r>
    </w:p>
    <w:tbl>
      <w:tblPr>
        <w:tblStyle w:val="TableGrid"/>
        <w:tblW w:w="10261" w:type="dxa"/>
        <w:tblInd w:w="108" w:type="dxa"/>
        <w:tblLook w:val="04A0"/>
      </w:tblPr>
      <w:tblGrid>
        <w:gridCol w:w="1102"/>
        <w:gridCol w:w="1508"/>
        <w:gridCol w:w="1882"/>
        <w:gridCol w:w="1944"/>
        <w:gridCol w:w="1944"/>
        <w:gridCol w:w="1881"/>
      </w:tblGrid>
      <w:tr w:rsidR="00860D79" w:rsidRPr="00927B42" w:rsidTr="00860D79">
        <w:trPr>
          <w:trHeight w:val="620"/>
        </w:trPr>
        <w:tc>
          <w:tcPr>
            <w:tcW w:w="1102" w:type="dxa"/>
            <w:vAlign w:val="bottom"/>
            <w:hideMark/>
          </w:tcPr>
          <w:p w:rsidR="00860D79" w:rsidRPr="00065004" w:rsidRDefault="00860D79" w:rsidP="00065004">
            <w:pPr>
              <w:pStyle w:val="LFTTableheader2"/>
              <w:spacing w:before="60"/>
              <w:rPr>
                <w:rFonts w:ascii="Times New Roman" w:hAnsi="Times New Roman" w:cs="Times New Roman"/>
                <w:sz w:val="22"/>
                <w:u w:val="single"/>
                <w:lang w:bidi="ar-SA"/>
              </w:rPr>
            </w:pPr>
            <w:r w:rsidRPr="00065004">
              <w:rPr>
                <w:rFonts w:ascii="Times New Roman" w:hAnsi="Times New Roman" w:cs="Times New Roman"/>
                <w:sz w:val="22"/>
                <w:u w:val="single"/>
                <w:lang w:bidi="ar-SA"/>
              </w:rPr>
              <w:t>Units 1-3</w:t>
            </w:r>
          </w:p>
        </w:tc>
        <w:tc>
          <w:tcPr>
            <w:tcW w:w="1508" w:type="dxa"/>
          </w:tcPr>
          <w:p w:rsidR="00860D79" w:rsidRDefault="00860D79" w:rsidP="00860D79">
            <w:pPr>
              <w:pStyle w:val="LFTTableheader2"/>
              <w:spacing w:before="60"/>
              <w:jc w:val="center"/>
              <w:rPr>
                <w:rFonts w:ascii="Times New Roman" w:hAnsi="Times New Roman" w:cs="Times New Roman"/>
                <w:b w:val="0"/>
                <w:sz w:val="22"/>
                <w:lang w:bidi="ar-SA"/>
              </w:rPr>
            </w:pPr>
            <w:r>
              <w:rPr>
                <w:rFonts w:ascii="Times New Roman" w:hAnsi="Times New Roman" w:cs="Times New Roman"/>
                <w:b w:val="0"/>
                <w:sz w:val="22"/>
                <w:lang w:bidi="ar-SA"/>
              </w:rPr>
              <w:t>Concentration</w:t>
            </w:r>
            <w:r>
              <w:rPr>
                <w:rFonts w:ascii="Times New Roman" w:hAnsi="Times New Roman" w:cs="Times New Roman"/>
                <w:b w:val="0"/>
                <w:sz w:val="22"/>
                <w:lang w:bidi="ar-SA"/>
              </w:rPr>
              <w:br/>
              <w:t>in Biosolids</w:t>
            </w:r>
            <w:r w:rsidR="00420601">
              <w:rPr>
                <w:rFonts w:ascii="Times New Roman" w:hAnsi="Times New Roman" w:cs="Times New Roman"/>
                <w:b w:val="0"/>
                <w:sz w:val="22"/>
                <w:lang w:bidi="ar-SA"/>
              </w:rPr>
              <w:t xml:space="preserve"> </w:t>
            </w:r>
            <w:r w:rsidR="00420601">
              <w:rPr>
                <w:rFonts w:ascii="Times New Roman" w:hAnsi="Times New Roman" w:cs="Times New Roman"/>
                <w:sz w:val="22"/>
                <w:vertAlign w:val="superscript"/>
                <w:lang w:bidi="ar-SA"/>
              </w:rPr>
              <w:t>1</w:t>
            </w:r>
            <w:r>
              <w:rPr>
                <w:rFonts w:ascii="Times New Roman" w:hAnsi="Times New Roman" w:cs="Times New Roman"/>
                <w:b w:val="0"/>
                <w:sz w:val="22"/>
                <w:lang w:bidi="ar-SA"/>
              </w:rPr>
              <w:br/>
            </w:r>
            <w:r>
              <w:rPr>
                <w:rFonts w:ascii="Times New Roman" w:hAnsi="Times New Roman" w:cs="Times New Roman"/>
                <w:b w:val="0"/>
                <w:szCs w:val="18"/>
                <w:u w:val="single"/>
                <w:lang w:bidi="ar-SA"/>
              </w:rPr>
              <w:t>(</w:t>
            </w:r>
            <w:r w:rsidRPr="00860D79">
              <w:rPr>
                <w:rFonts w:ascii="Times New Roman" w:hAnsi="Times New Roman" w:cs="Times New Roman"/>
                <w:b w:val="0"/>
                <w:szCs w:val="18"/>
                <w:u w:val="single"/>
                <w:lang w:bidi="ar-SA"/>
              </w:rPr>
              <w:t>mg/kg</w:t>
            </w:r>
            <w:r>
              <w:rPr>
                <w:rFonts w:ascii="Times New Roman" w:hAnsi="Times New Roman" w:cs="Times New Roman"/>
                <w:b w:val="0"/>
                <w:szCs w:val="18"/>
                <w:u w:val="single"/>
                <w:lang w:bidi="ar-SA"/>
              </w:rPr>
              <w:t>)</w:t>
            </w:r>
          </w:p>
        </w:tc>
        <w:tc>
          <w:tcPr>
            <w:tcW w:w="1882" w:type="dxa"/>
            <w:vAlign w:val="center"/>
            <w:hideMark/>
          </w:tcPr>
          <w:p w:rsidR="00860D79" w:rsidRPr="00927B42" w:rsidRDefault="00860D79" w:rsidP="008720BC">
            <w:pPr>
              <w:pStyle w:val="LFTTableheader2"/>
              <w:spacing w:before="60"/>
              <w:jc w:val="center"/>
              <w:rPr>
                <w:rFonts w:ascii="Times New Roman" w:hAnsi="Times New Roman" w:cs="Times New Roman"/>
                <w:b w:val="0"/>
                <w:sz w:val="22"/>
                <w:lang w:bidi="ar-SA"/>
              </w:rPr>
            </w:pPr>
            <w:r>
              <w:rPr>
                <w:rFonts w:ascii="Times New Roman" w:hAnsi="Times New Roman" w:cs="Times New Roman"/>
                <w:b w:val="0"/>
                <w:sz w:val="22"/>
                <w:lang w:bidi="ar-SA"/>
              </w:rPr>
              <w:t>Emission</w:t>
            </w:r>
            <w:r>
              <w:rPr>
                <w:rFonts w:ascii="Times New Roman" w:hAnsi="Times New Roman" w:cs="Times New Roman"/>
                <w:b w:val="0"/>
                <w:sz w:val="22"/>
                <w:lang w:bidi="ar-SA"/>
              </w:rPr>
              <w:br/>
            </w:r>
            <w:r w:rsidRPr="00927B42">
              <w:rPr>
                <w:rFonts w:ascii="Times New Roman" w:hAnsi="Times New Roman" w:cs="Times New Roman"/>
                <w:b w:val="0"/>
                <w:sz w:val="22"/>
                <w:lang w:bidi="ar-SA"/>
              </w:rPr>
              <w:t>Standard</w:t>
            </w:r>
            <w:r w:rsidRPr="00927B42">
              <w:rPr>
                <w:rFonts w:ascii="Times New Roman" w:hAnsi="Times New Roman" w:cs="Times New Roman"/>
                <w:b w:val="0"/>
                <w:sz w:val="22"/>
                <w:lang w:bidi="ar-SA"/>
              </w:rPr>
              <w:br/>
            </w:r>
            <w:r w:rsidRPr="00065004">
              <w:rPr>
                <w:rFonts w:ascii="Times New Roman" w:hAnsi="Times New Roman" w:cs="Times New Roman"/>
                <w:b w:val="0"/>
                <w:szCs w:val="18"/>
                <w:u w:val="single"/>
                <w:lang w:bidi="ar-SA"/>
              </w:rPr>
              <w:t>(µg/dscm @7% O</w:t>
            </w:r>
            <w:r w:rsidRPr="00065004">
              <w:rPr>
                <w:rFonts w:ascii="Times New Roman" w:hAnsi="Times New Roman" w:cs="Times New Roman"/>
                <w:b w:val="0"/>
                <w:szCs w:val="18"/>
                <w:u w:val="single"/>
                <w:vertAlign w:val="subscript"/>
                <w:lang w:bidi="ar-SA"/>
              </w:rPr>
              <w:t>2</w:t>
            </w:r>
            <w:r w:rsidRPr="00065004">
              <w:rPr>
                <w:rFonts w:ascii="Times New Roman" w:hAnsi="Times New Roman" w:cs="Times New Roman"/>
                <w:b w:val="0"/>
                <w:szCs w:val="18"/>
                <w:u w:val="single"/>
                <w:lang w:bidi="ar-SA"/>
              </w:rPr>
              <w:t>)</w:t>
            </w:r>
          </w:p>
        </w:tc>
        <w:tc>
          <w:tcPr>
            <w:tcW w:w="1944" w:type="dxa"/>
            <w:vAlign w:val="center"/>
            <w:hideMark/>
          </w:tcPr>
          <w:p w:rsidR="00860D79" w:rsidRPr="00927B42" w:rsidRDefault="00860D79" w:rsidP="008720BC">
            <w:pPr>
              <w:pStyle w:val="LFTTableheader2"/>
              <w:spacing w:before="60"/>
              <w:jc w:val="center"/>
              <w:rPr>
                <w:rFonts w:ascii="Times New Roman" w:hAnsi="Times New Roman" w:cs="Times New Roman"/>
                <w:b w:val="0"/>
                <w:sz w:val="22"/>
                <w:lang w:bidi="ar-SA"/>
              </w:rPr>
            </w:pPr>
            <w:r w:rsidRPr="00927B42">
              <w:rPr>
                <w:rFonts w:ascii="Times New Roman" w:hAnsi="Times New Roman" w:cs="Times New Roman"/>
                <w:b w:val="0"/>
                <w:sz w:val="22"/>
                <w:lang w:bidi="ar-SA"/>
              </w:rPr>
              <w:t>2011 Stack Test Highest Result</w:t>
            </w:r>
            <w:r>
              <w:rPr>
                <w:rFonts w:ascii="Times New Roman" w:hAnsi="Times New Roman" w:cs="Times New Roman"/>
                <w:b w:val="0"/>
                <w:sz w:val="22"/>
                <w:lang w:bidi="ar-SA"/>
              </w:rPr>
              <w:t xml:space="preserve"> </w:t>
            </w:r>
            <w:r w:rsidR="00420601">
              <w:rPr>
                <w:rFonts w:ascii="Times New Roman" w:hAnsi="Times New Roman" w:cs="Times New Roman"/>
                <w:sz w:val="22"/>
                <w:vertAlign w:val="superscript"/>
                <w:lang w:bidi="ar-SA"/>
              </w:rPr>
              <w:t>2</w:t>
            </w:r>
            <w:r>
              <w:rPr>
                <w:rFonts w:ascii="Times New Roman" w:hAnsi="Times New Roman" w:cs="Times New Roman"/>
                <w:b w:val="0"/>
                <w:sz w:val="22"/>
                <w:lang w:bidi="ar-SA"/>
              </w:rPr>
              <w:br/>
            </w:r>
            <w:r w:rsidRPr="00065004">
              <w:rPr>
                <w:rFonts w:ascii="Times New Roman" w:hAnsi="Times New Roman" w:cs="Times New Roman"/>
                <w:b w:val="0"/>
                <w:szCs w:val="18"/>
                <w:u w:val="single"/>
                <w:lang w:bidi="ar-SA"/>
              </w:rPr>
              <w:t>(µg/dscm @7% O</w:t>
            </w:r>
            <w:r w:rsidRPr="00065004">
              <w:rPr>
                <w:rFonts w:ascii="Times New Roman" w:hAnsi="Times New Roman" w:cs="Times New Roman"/>
                <w:b w:val="0"/>
                <w:szCs w:val="18"/>
                <w:u w:val="single"/>
                <w:vertAlign w:val="subscript"/>
                <w:lang w:bidi="ar-SA"/>
              </w:rPr>
              <w:t>2</w:t>
            </w:r>
            <w:r w:rsidRPr="00065004">
              <w:rPr>
                <w:rFonts w:ascii="Times New Roman" w:hAnsi="Times New Roman" w:cs="Times New Roman"/>
                <w:b w:val="0"/>
                <w:szCs w:val="18"/>
                <w:u w:val="single"/>
                <w:lang w:bidi="ar-SA"/>
              </w:rPr>
              <w:t>)</w:t>
            </w:r>
          </w:p>
        </w:tc>
        <w:tc>
          <w:tcPr>
            <w:tcW w:w="1944" w:type="dxa"/>
            <w:vAlign w:val="center"/>
            <w:hideMark/>
          </w:tcPr>
          <w:p w:rsidR="00860D79" w:rsidRPr="00927B42" w:rsidRDefault="00860D79" w:rsidP="0066022A">
            <w:pPr>
              <w:pStyle w:val="LFTTableheader2"/>
              <w:spacing w:before="60"/>
              <w:jc w:val="center"/>
              <w:rPr>
                <w:rFonts w:ascii="Times New Roman" w:hAnsi="Times New Roman" w:cs="Times New Roman"/>
                <w:b w:val="0"/>
                <w:sz w:val="22"/>
                <w:lang w:bidi="ar-SA"/>
              </w:rPr>
            </w:pPr>
            <w:r>
              <w:rPr>
                <w:rFonts w:ascii="Times New Roman" w:hAnsi="Times New Roman" w:cs="Times New Roman"/>
                <w:b w:val="0"/>
                <w:sz w:val="22"/>
                <w:lang w:bidi="ar-SA"/>
              </w:rPr>
              <w:t>Addition from</w:t>
            </w:r>
            <w:r>
              <w:rPr>
                <w:rFonts w:ascii="Times New Roman" w:hAnsi="Times New Roman" w:cs="Times New Roman"/>
                <w:b w:val="0"/>
                <w:sz w:val="22"/>
                <w:lang w:bidi="ar-SA"/>
              </w:rPr>
              <w:br/>
            </w:r>
            <w:r w:rsidRPr="001521D7">
              <w:rPr>
                <w:rFonts w:ascii="Times New Roman" w:hAnsi="Times New Roman" w:cs="Times New Roman"/>
                <w:b w:val="0"/>
                <w:sz w:val="22"/>
                <w:lang w:bidi="ar-SA"/>
              </w:rPr>
              <w:t>10% Biosolids</w:t>
            </w:r>
            <w:r>
              <w:rPr>
                <w:rFonts w:ascii="Times New Roman" w:hAnsi="Times New Roman" w:cs="Times New Roman"/>
                <w:b w:val="0"/>
                <w:sz w:val="22"/>
                <w:lang w:bidi="ar-SA"/>
              </w:rPr>
              <w:t xml:space="preserve"> </w:t>
            </w:r>
            <w:r w:rsidR="00420601">
              <w:rPr>
                <w:rFonts w:ascii="Times New Roman" w:hAnsi="Times New Roman" w:cs="Times New Roman"/>
                <w:sz w:val="22"/>
                <w:vertAlign w:val="superscript"/>
                <w:lang w:bidi="ar-SA"/>
              </w:rPr>
              <w:t>3</w:t>
            </w:r>
            <w:r>
              <w:rPr>
                <w:rFonts w:ascii="Times New Roman" w:hAnsi="Times New Roman" w:cs="Times New Roman"/>
                <w:b w:val="0"/>
                <w:sz w:val="22"/>
                <w:lang w:bidi="ar-SA"/>
              </w:rPr>
              <w:br/>
            </w:r>
            <w:r w:rsidRPr="00065004">
              <w:rPr>
                <w:rFonts w:ascii="Times New Roman" w:hAnsi="Times New Roman" w:cs="Times New Roman"/>
                <w:b w:val="0"/>
                <w:szCs w:val="18"/>
                <w:u w:val="single"/>
                <w:lang w:bidi="ar-SA"/>
              </w:rPr>
              <w:t>(µg/dscm @ 7% O</w:t>
            </w:r>
            <w:r w:rsidRPr="00065004">
              <w:rPr>
                <w:rFonts w:ascii="Times New Roman" w:hAnsi="Times New Roman" w:cs="Times New Roman"/>
                <w:b w:val="0"/>
                <w:szCs w:val="18"/>
                <w:u w:val="single"/>
                <w:vertAlign w:val="subscript"/>
                <w:lang w:bidi="ar-SA"/>
              </w:rPr>
              <w:t>2</w:t>
            </w:r>
            <w:r w:rsidRPr="00065004">
              <w:rPr>
                <w:rFonts w:ascii="Times New Roman" w:hAnsi="Times New Roman" w:cs="Times New Roman"/>
                <w:b w:val="0"/>
                <w:szCs w:val="18"/>
                <w:u w:val="single"/>
                <w:lang w:bidi="ar-SA"/>
              </w:rPr>
              <w:t>)</w:t>
            </w:r>
          </w:p>
        </w:tc>
        <w:tc>
          <w:tcPr>
            <w:tcW w:w="1881" w:type="dxa"/>
            <w:vAlign w:val="center"/>
            <w:hideMark/>
          </w:tcPr>
          <w:p w:rsidR="00860D79" w:rsidRPr="00927B42" w:rsidRDefault="00860D79" w:rsidP="0066022A">
            <w:pPr>
              <w:pStyle w:val="LFTTableheader2"/>
              <w:spacing w:before="60"/>
              <w:jc w:val="center"/>
              <w:rPr>
                <w:rFonts w:ascii="Times New Roman" w:hAnsi="Times New Roman" w:cs="Times New Roman"/>
                <w:b w:val="0"/>
                <w:sz w:val="22"/>
                <w:lang w:bidi="ar-SA"/>
              </w:rPr>
            </w:pPr>
            <w:r>
              <w:rPr>
                <w:rFonts w:ascii="Times New Roman" w:hAnsi="Times New Roman" w:cs="Times New Roman"/>
                <w:b w:val="0"/>
                <w:sz w:val="22"/>
                <w:lang w:bidi="ar-SA"/>
              </w:rPr>
              <w:t>Future</w:t>
            </w:r>
            <w:r>
              <w:rPr>
                <w:rFonts w:ascii="Times New Roman" w:hAnsi="Times New Roman" w:cs="Times New Roman"/>
                <w:b w:val="0"/>
                <w:sz w:val="22"/>
                <w:lang w:bidi="ar-SA"/>
              </w:rPr>
              <w:br/>
              <w:t>Concentration</w:t>
            </w:r>
            <w:r>
              <w:rPr>
                <w:rFonts w:ascii="Times New Roman" w:hAnsi="Times New Roman" w:cs="Times New Roman"/>
                <w:b w:val="0"/>
                <w:sz w:val="22"/>
                <w:lang w:bidi="ar-SA"/>
              </w:rPr>
              <w:br/>
            </w:r>
            <w:r w:rsidRPr="00065004">
              <w:rPr>
                <w:rFonts w:ascii="Times New Roman" w:hAnsi="Times New Roman" w:cs="Times New Roman"/>
                <w:b w:val="0"/>
                <w:szCs w:val="18"/>
                <w:u w:val="single"/>
                <w:lang w:bidi="ar-SA"/>
              </w:rPr>
              <w:t>(µg/dscm @ 7% O</w:t>
            </w:r>
            <w:r w:rsidRPr="00065004">
              <w:rPr>
                <w:rFonts w:ascii="Times New Roman" w:hAnsi="Times New Roman" w:cs="Times New Roman"/>
                <w:b w:val="0"/>
                <w:szCs w:val="18"/>
                <w:u w:val="single"/>
                <w:vertAlign w:val="subscript"/>
                <w:lang w:bidi="ar-SA"/>
              </w:rPr>
              <w:t>2</w:t>
            </w:r>
            <w:r w:rsidRPr="00065004">
              <w:rPr>
                <w:rFonts w:ascii="Times New Roman" w:hAnsi="Times New Roman" w:cs="Times New Roman"/>
                <w:b w:val="0"/>
                <w:szCs w:val="18"/>
                <w:u w:val="single"/>
                <w:lang w:bidi="ar-SA"/>
              </w:rPr>
              <w:t>)</w:t>
            </w:r>
          </w:p>
        </w:tc>
      </w:tr>
      <w:tr w:rsidR="00860D79" w:rsidRPr="00927B42" w:rsidTr="00860D79">
        <w:trPr>
          <w:trHeight w:val="300"/>
        </w:trPr>
        <w:tc>
          <w:tcPr>
            <w:tcW w:w="1102" w:type="dxa"/>
            <w:noWrap/>
            <w:vAlign w:val="center"/>
            <w:hideMark/>
          </w:tcPr>
          <w:p w:rsidR="00860D79" w:rsidRPr="00065004" w:rsidRDefault="00860D79" w:rsidP="00065004">
            <w:pPr>
              <w:pStyle w:val="LFTTabletext"/>
              <w:spacing w:before="60"/>
              <w:rPr>
                <w:rFonts w:ascii="Times New Roman" w:hAnsi="Times New Roman" w:cs="Times New Roman"/>
                <w:b/>
                <w:sz w:val="22"/>
                <w:lang w:bidi="ar-SA"/>
              </w:rPr>
            </w:pPr>
            <w:r w:rsidRPr="00065004">
              <w:rPr>
                <w:rFonts w:ascii="Times New Roman" w:hAnsi="Times New Roman" w:cs="Times New Roman"/>
                <w:b/>
                <w:sz w:val="22"/>
                <w:lang w:bidi="ar-SA"/>
              </w:rPr>
              <w:t>Hg</w:t>
            </w:r>
          </w:p>
        </w:tc>
        <w:tc>
          <w:tcPr>
            <w:tcW w:w="1508" w:type="dxa"/>
          </w:tcPr>
          <w:p w:rsidR="00860D79" w:rsidRPr="00860D79" w:rsidRDefault="00860D79" w:rsidP="00860D79">
            <w:pPr>
              <w:pStyle w:val="LFTTabletext"/>
              <w:spacing w:before="60"/>
              <w:jc w:val="center"/>
              <w:rPr>
                <w:rFonts w:ascii="Times New Roman" w:hAnsi="Times New Roman" w:cs="Times New Roman"/>
                <w:sz w:val="22"/>
                <w:lang w:bidi="ar-SA"/>
              </w:rPr>
            </w:pPr>
            <w:r w:rsidRPr="00860D79">
              <w:rPr>
                <w:rFonts w:ascii="Times New Roman" w:hAnsi="Times New Roman" w:cs="Times New Roman"/>
                <w:sz w:val="22"/>
                <w:lang w:bidi="ar-SA"/>
              </w:rPr>
              <w:t>0.4</w:t>
            </w:r>
          </w:p>
        </w:tc>
        <w:tc>
          <w:tcPr>
            <w:tcW w:w="1882" w:type="dxa"/>
            <w:noWrap/>
            <w:vAlign w:val="center"/>
            <w:hideMark/>
          </w:tcPr>
          <w:p w:rsidR="00860D79" w:rsidRPr="00927B42" w:rsidRDefault="00860D79" w:rsidP="00065004">
            <w:pPr>
              <w:pStyle w:val="LFTTabletext"/>
              <w:spacing w:before="60"/>
              <w:jc w:val="center"/>
              <w:rPr>
                <w:rFonts w:ascii="Times New Roman" w:hAnsi="Times New Roman" w:cs="Times New Roman"/>
                <w:sz w:val="22"/>
                <w:lang w:bidi="ar-SA"/>
              </w:rPr>
            </w:pPr>
            <w:r w:rsidRPr="00927B42">
              <w:rPr>
                <w:rFonts w:ascii="Times New Roman" w:hAnsi="Times New Roman" w:cs="Times New Roman"/>
                <w:sz w:val="22"/>
                <w:lang w:bidi="ar-SA"/>
              </w:rPr>
              <w:t>50</w:t>
            </w:r>
          </w:p>
        </w:tc>
        <w:tc>
          <w:tcPr>
            <w:tcW w:w="1944" w:type="dxa"/>
            <w:noWrap/>
            <w:vAlign w:val="center"/>
            <w:hideMark/>
          </w:tcPr>
          <w:p w:rsidR="00860D79" w:rsidRPr="00927B42" w:rsidRDefault="00860D79" w:rsidP="00065004">
            <w:pPr>
              <w:pStyle w:val="LFTTabletext"/>
              <w:spacing w:before="60"/>
              <w:jc w:val="center"/>
              <w:rPr>
                <w:rFonts w:ascii="Times New Roman" w:hAnsi="Times New Roman" w:cs="Times New Roman"/>
                <w:sz w:val="22"/>
                <w:lang w:bidi="ar-SA"/>
              </w:rPr>
            </w:pPr>
            <w:r w:rsidRPr="00927B42">
              <w:rPr>
                <w:rFonts w:ascii="Times New Roman" w:hAnsi="Times New Roman" w:cs="Times New Roman"/>
                <w:sz w:val="22"/>
                <w:lang w:bidi="ar-SA"/>
              </w:rPr>
              <w:t>10</w:t>
            </w:r>
            <w:r>
              <w:rPr>
                <w:rFonts w:ascii="Times New Roman" w:hAnsi="Times New Roman" w:cs="Times New Roman"/>
                <w:sz w:val="22"/>
                <w:lang w:bidi="ar-SA"/>
              </w:rPr>
              <w:t>.</w:t>
            </w:r>
            <w:r w:rsidRPr="00927B42">
              <w:rPr>
                <w:rFonts w:ascii="Times New Roman" w:hAnsi="Times New Roman" w:cs="Times New Roman"/>
                <w:sz w:val="22"/>
                <w:lang w:bidi="ar-SA"/>
              </w:rPr>
              <w:t>3</w:t>
            </w:r>
          </w:p>
        </w:tc>
        <w:tc>
          <w:tcPr>
            <w:tcW w:w="1944" w:type="dxa"/>
            <w:noWrap/>
            <w:vAlign w:val="center"/>
            <w:hideMark/>
          </w:tcPr>
          <w:p w:rsidR="00860D79" w:rsidRPr="00927B42" w:rsidRDefault="00860D79" w:rsidP="00065004">
            <w:pPr>
              <w:pStyle w:val="LFTTabletext"/>
              <w:spacing w:before="60"/>
              <w:jc w:val="center"/>
              <w:rPr>
                <w:rFonts w:ascii="Times New Roman" w:hAnsi="Times New Roman" w:cs="Times New Roman"/>
                <w:sz w:val="22"/>
                <w:lang w:bidi="ar-SA"/>
              </w:rPr>
            </w:pPr>
            <w:r w:rsidRPr="00927B42">
              <w:rPr>
                <w:rFonts w:ascii="Times New Roman" w:hAnsi="Times New Roman" w:cs="Times New Roman"/>
                <w:sz w:val="22"/>
                <w:lang w:bidi="ar-SA"/>
              </w:rPr>
              <w:t>1</w:t>
            </w:r>
            <w:r>
              <w:rPr>
                <w:rFonts w:ascii="Times New Roman" w:hAnsi="Times New Roman" w:cs="Times New Roman"/>
                <w:sz w:val="22"/>
                <w:lang w:bidi="ar-SA"/>
              </w:rPr>
              <w:t>.</w:t>
            </w:r>
            <w:r w:rsidRPr="00927B42">
              <w:rPr>
                <w:rFonts w:ascii="Times New Roman" w:hAnsi="Times New Roman" w:cs="Times New Roman"/>
                <w:sz w:val="22"/>
                <w:lang w:bidi="ar-SA"/>
              </w:rPr>
              <w:t>2</w:t>
            </w:r>
          </w:p>
        </w:tc>
        <w:tc>
          <w:tcPr>
            <w:tcW w:w="1881" w:type="dxa"/>
            <w:noWrap/>
            <w:vAlign w:val="center"/>
            <w:hideMark/>
          </w:tcPr>
          <w:p w:rsidR="00860D79" w:rsidRPr="00927B42" w:rsidRDefault="00860D79" w:rsidP="00065004">
            <w:pPr>
              <w:pStyle w:val="LFTTabletext"/>
              <w:spacing w:before="60"/>
              <w:jc w:val="center"/>
              <w:rPr>
                <w:rFonts w:ascii="Times New Roman" w:hAnsi="Times New Roman" w:cs="Times New Roman"/>
                <w:sz w:val="22"/>
                <w:lang w:bidi="ar-SA"/>
              </w:rPr>
            </w:pPr>
            <w:r w:rsidRPr="00927B42">
              <w:rPr>
                <w:rFonts w:ascii="Times New Roman" w:hAnsi="Times New Roman" w:cs="Times New Roman"/>
                <w:sz w:val="22"/>
                <w:lang w:bidi="ar-SA"/>
              </w:rPr>
              <w:t>11</w:t>
            </w:r>
            <w:r>
              <w:rPr>
                <w:rFonts w:ascii="Times New Roman" w:hAnsi="Times New Roman" w:cs="Times New Roman"/>
                <w:sz w:val="22"/>
                <w:lang w:bidi="ar-SA"/>
              </w:rPr>
              <w:t>.5</w:t>
            </w:r>
          </w:p>
        </w:tc>
      </w:tr>
      <w:tr w:rsidR="00860D79" w:rsidRPr="00927B42" w:rsidTr="00860D79">
        <w:trPr>
          <w:trHeight w:val="300"/>
        </w:trPr>
        <w:tc>
          <w:tcPr>
            <w:tcW w:w="1102" w:type="dxa"/>
            <w:noWrap/>
            <w:vAlign w:val="center"/>
            <w:hideMark/>
          </w:tcPr>
          <w:p w:rsidR="00860D79" w:rsidRPr="00065004" w:rsidRDefault="00860D79" w:rsidP="00065004">
            <w:pPr>
              <w:pStyle w:val="LFTTabletext"/>
              <w:spacing w:before="60"/>
              <w:rPr>
                <w:rFonts w:ascii="Times New Roman" w:hAnsi="Times New Roman" w:cs="Times New Roman"/>
                <w:b/>
                <w:sz w:val="22"/>
                <w:lang w:bidi="ar-SA"/>
              </w:rPr>
            </w:pPr>
            <w:r w:rsidRPr="00065004">
              <w:rPr>
                <w:rFonts w:ascii="Times New Roman" w:hAnsi="Times New Roman" w:cs="Times New Roman"/>
                <w:b/>
                <w:sz w:val="22"/>
                <w:lang w:bidi="ar-SA"/>
              </w:rPr>
              <w:t>Cd</w:t>
            </w:r>
          </w:p>
        </w:tc>
        <w:tc>
          <w:tcPr>
            <w:tcW w:w="1508" w:type="dxa"/>
          </w:tcPr>
          <w:p w:rsidR="00860D79" w:rsidRPr="00860D79" w:rsidRDefault="00860D79" w:rsidP="00860D79">
            <w:pPr>
              <w:pStyle w:val="LFTTabletext"/>
              <w:spacing w:before="60"/>
              <w:jc w:val="center"/>
              <w:rPr>
                <w:rFonts w:ascii="Times New Roman" w:hAnsi="Times New Roman" w:cs="Times New Roman"/>
                <w:sz w:val="22"/>
                <w:lang w:bidi="ar-SA"/>
              </w:rPr>
            </w:pPr>
            <w:r w:rsidRPr="00860D79">
              <w:rPr>
                <w:rFonts w:ascii="Times New Roman" w:hAnsi="Times New Roman" w:cs="Times New Roman"/>
                <w:sz w:val="22"/>
                <w:lang w:bidi="ar-SA"/>
              </w:rPr>
              <w:t>2.4</w:t>
            </w:r>
          </w:p>
        </w:tc>
        <w:tc>
          <w:tcPr>
            <w:tcW w:w="1882" w:type="dxa"/>
            <w:noWrap/>
            <w:vAlign w:val="center"/>
            <w:hideMark/>
          </w:tcPr>
          <w:p w:rsidR="00860D79" w:rsidRPr="00927B42" w:rsidRDefault="00860D79" w:rsidP="00065004">
            <w:pPr>
              <w:pStyle w:val="LFTTabletext"/>
              <w:spacing w:before="60"/>
              <w:jc w:val="center"/>
              <w:rPr>
                <w:rFonts w:ascii="Times New Roman" w:hAnsi="Times New Roman" w:cs="Times New Roman"/>
                <w:sz w:val="22"/>
                <w:lang w:bidi="ar-SA"/>
              </w:rPr>
            </w:pPr>
            <w:r w:rsidRPr="00927B42">
              <w:rPr>
                <w:rFonts w:ascii="Times New Roman" w:hAnsi="Times New Roman" w:cs="Times New Roman"/>
                <w:sz w:val="22"/>
                <w:lang w:bidi="ar-SA"/>
              </w:rPr>
              <w:t>35</w:t>
            </w:r>
          </w:p>
        </w:tc>
        <w:tc>
          <w:tcPr>
            <w:tcW w:w="1944" w:type="dxa"/>
            <w:noWrap/>
            <w:vAlign w:val="center"/>
            <w:hideMark/>
          </w:tcPr>
          <w:p w:rsidR="00860D79" w:rsidRPr="00927B42" w:rsidRDefault="00860D79" w:rsidP="00065004">
            <w:pPr>
              <w:pStyle w:val="LFTTabletext"/>
              <w:spacing w:before="60"/>
              <w:jc w:val="center"/>
              <w:rPr>
                <w:rFonts w:ascii="Times New Roman" w:hAnsi="Times New Roman" w:cs="Times New Roman"/>
                <w:sz w:val="22"/>
                <w:lang w:bidi="ar-SA"/>
              </w:rPr>
            </w:pPr>
            <w:r>
              <w:rPr>
                <w:rFonts w:ascii="Times New Roman" w:hAnsi="Times New Roman" w:cs="Times New Roman"/>
                <w:sz w:val="22"/>
                <w:lang w:bidi="ar-SA"/>
              </w:rPr>
              <w:t>0.</w:t>
            </w:r>
            <w:r w:rsidRPr="00927B42">
              <w:rPr>
                <w:rFonts w:ascii="Times New Roman" w:hAnsi="Times New Roman" w:cs="Times New Roman"/>
                <w:sz w:val="22"/>
                <w:lang w:bidi="ar-SA"/>
              </w:rPr>
              <w:t>34</w:t>
            </w:r>
          </w:p>
        </w:tc>
        <w:tc>
          <w:tcPr>
            <w:tcW w:w="1944" w:type="dxa"/>
            <w:noWrap/>
            <w:vAlign w:val="center"/>
            <w:hideMark/>
          </w:tcPr>
          <w:p w:rsidR="00860D79" w:rsidRPr="00927B42" w:rsidRDefault="00860D79" w:rsidP="00065004">
            <w:pPr>
              <w:pStyle w:val="LFTTabletext"/>
              <w:spacing w:before="60"/>
              <w:jc w:val="center"/>
              <w:rPr>
                <w:rFonts w:ascii="Times New Roman" w:hAnsi="Times New Roman" w:cs="Times New Roman"/>
                <w:sz w:val="22"/>
                <w:lang w:bidi="ar-SA"/>
              </w:rPr>
            </w:pPr>
            <w:r w:rsidRPr="00927B42">
              <w:rPr>
                <w:rFonts w:ascii="Times New Roman" w:hAnsi="Times New Roman" w:cs="Times New Roman"/>
                <w:sz w:val="22"/>
                <w:lang w:bidi="ar-SA"/>
              </w:rPr>
              <w:t>6</w:t>
            </w:r>
            <w:r>
              <w:rPr>
                <w:rFonts w:ascii="Times New Roman" w:hAnsi="Times New Roman" w:cs="Times New Roman"/>
                <w:sz w:val="22"/>
                <w:lang w:bidi="ar-SA"/>
              </w:rPr>
              <w:t>.</w:t>
            </w:r>
            <w:r w:rsidRPr="00927B42">
              <w:rPr>
                <w:rFonts w:ascii="Times New Roman" w:hAnsi="Times New Roman" w:cs="Times New Roman"/>
                <w:sz w:val="22"/>
                <w:lang w:bidi="ar-SA"/>
              </w:rPr>
              <w:t>9</w:t>
            </w:r>
          </w:p>
        </w:tc>
        <w:tc>
          <w:tcPr>
            <w:tcW w:w="1881" w:type="dxa"/>
            <w:noWrap/>
            <w:vAlign w:val="center"/>
            <w:hideMark/>
          </w:tcPr>
          <w:p w:rsidR="00860D79" w:rsidRPr="00927B42" w:rsidRDefault="00860D79" w:rsidP="00065004">
            <w:pPr>
              <w:pStyle w:val="LFTTabletext"/>
              <w:spacing w:before="60"/>
              <w:jc w:val="center"/>
              <w:rPr>
                <w:rFonts w:ascii="Times New Roman" w:hAnsi="Times New Roman" w:cs="Times New Roman"/>
                <w:sz w:val="22"/>
                <w:lang w:bidi="ar-SA"/>
              </w:rPr>
            </w:pPr>
            <w:r w:rsidRPr="00927B42">
              <w:rPr>
                <w:rFonts w:ascii="Times New Roman" w:hAnsi="Times New Roman" w:cs="Times New Roman"/>
                <w:sz w:val="22"/>
                <w:lang w:bidi="ar-SA"/>
              </w:rPr>
              <w:t>7</w:t>
            </w:r>
            <w:r>
              <w:rPr>
                <w:rFonts w:ascii="Times New Roman" w:hAnsi="Times New Roman" w:cs="Times New Roman"/>
                <w:sz w:val="22"/>
                <w:lang w:bidi="ar-SA"/>
              </w:rPr>
              <w:t>.2</w:t>
            </w:r>
          </w:p>
        </w:tc>
      </w:tr>
      <w:tr w:rsidR="00860D79" w:rsidRPr="00927B42" w:rsidTr="00860D79">
        <w:trPr>
          <w:trHeight w:val="300"/>
        </w:trPr>
        <w:tc>
          <w:tcPr>
            <w:tcW w:w="1102" w:type="dxa"/>
            <w:tcBorders>
              <w:bottom w:val="double" w:sz="4" w:space="0" w:color="auto"/>
            </w:tcBorders>
            <w:noWrap/>
            <w:vAlign w:val="center"/>
            <w:hideMark/>
          </w:tcPr>
          <w:p w:rsidR="00860D79" w:rsidRPr="00065004" w:rsidRDefault="00860D79" w:rsidP="00065004">
            <w:pPr>
              <w:pStyle w:val="LFTTabletext"/>
              <w:spacing w:before="60"/>
              <w:rPr>
                <w:rFonts w:ascii="Times New Roman" w:hAnsi="Times New Roman" w:cs="Times New Roman"/>
                <w:b/>
                <w:sz w:val="22"/>
                <w:lang w:bidi="ar-SA"/>
              </w:rPr>
            </w:pPr>
            <w:r w:rsidRPr="00065004">
              <w:rPr>
                <w:rFonts w:ascii="Times New Roman" w:hAnsi="Times New Roman" w:cs="Times New Roman"/>
                <w:b/>
                <w:sz w:val="22"/>
                <w:lang w:bidi="ar-SA"/>
              </w:rPr>
              <w:t>Pb</w:t>
            </w:r>
          </w:p>
        </w:tc>
        <w:tc>
          <w:tcPr>
            <w:tcW w:w="1508" w:type="dxa"/>
            <w:tcBorders>
              <w:bottom w:val="double" w:sz="4" w:space="0" w:color="auto"/>
            </w:tcBorders>
          </w:tcPr>
          <w:p w:rsidR="00860D79" w:rsidRPr="00860D79" w:rsidRDefault="00860D79" w:rsidP="009445E1">
            <w:pPr>
              <w:pStyle w:val="LFTTabletext"/>
              <w:spacing w:before="60"/>
              <w:jc w:val="center"/>
              <w:rPr>
                <w:rFonts w:ascii="Times New Roman" w:hAnsi="Times New Roman" w:cs="Times New Roman"/>
                <w:sz w:val="22"/>
                <w:lang w:bidi="ar-SA"/>
              </w:rPr>
            </w:pPr>
            <w:r w:rsidRPr="00860D79">
              <w:rPr>
                <w:rFonts w:ascii="Times New Roman" w:hAnsi="Times New Roman" w:cs="Times New Roman"/>
                <w:sz w:val="22"/>
                <w:lang w:bidi="ar-SA"/>
              </w:rPr>
              <w:t>12.8</w:t>
            </w:r>
          </w:p>
        </w:tc>
        <w:tc>
          <w:tcPr>
            <w:tcW w:w="1882" w:type="dxa"/>
            <w:tcBorders>
              <w:bottom w:val="double" w:sz="4" w:space="0" w:color="auto"/>
            </w:tcBorders>
            <w:noWrap/>
            <w:vAlign w:val="center"/>
            <w:hideMark/>
          </w:tcPr>
          <w:p w:rsidR="00860D79" w:rsidRPr="00927B42" w:rsidRDefault="00860D79" w:rsidP="00065004">
            <w:pPr>
              <w:pStyle w:val="LFTTabletext"/>
              <w:spacing w:before="60"/>
              <w:jc w:val="center"/>
              <w:rPr>
                <w:rFonts w:ascii="Times New Roman" w:hAnsi="Times New Roman" w:cs="Times New Roman"/>
                <w:sz w:val="22"/>
                <w:lang w:bidi="ar-SA"/>
              </w:rPr>
            </w:pPr>
            <w:r w:rsidRPr="00927B42">
              <w:rPr>
                <w:rFonts w:ascii="Times New Roman" w:hAnsi="Times New Roman" w:cs="Times New Roman"/>
                <w:sz w:val="22"/>
                <w:lang w:bidi="ar-SA"/>
              </w:rPr>
              <w:t>400</w:t>
            </w:r>
          </w:p>
        </w:tc>
        <w:tc>
          <w:tcPr>
            <w:tcW w:w="1944" w:type="dxa"/>
            <w:tcBorders>
              <w:bottom w:val="double" w:sz="4" w:space="0" w:color="auto"/>
            </w:tcBorders>
            <w:noWrap/>
            <w:vAlign w:val="center"/>
            <w:hideMark/>
          </w:tcPr>
          <w:p w:rsidR="00860D79" w:rsidRPr="00927B42" w:rsidRDefault="00860D79" w:rsidP="00065004">
            <w:pPr>
              <w:pStyle w:val="LFTTabletext"/>
              <w:spacing w:before="60"/>
              <w:jc w:val="center"/>
              <w:rPr>
                <w:rFonts w:ascii="Times New Roman" w:hAnsi="Times New Roman" w:cs="Times New Roman"/>
                <w:sz w:val="22"/>
                <w:lang w:bidi="ar-SA"/>
              </w:rPr>
            </w:pPr>
            <w:r w:rsidRPr="00927B42">
              <w:rPr>
                <w:rFonts w:ascii="Times New Roman" w:hAnsi="Times New Roman" w:cs="Times New Roman"/>
                <w:sz w:val="22"/>
                <w:lang w:bidi="ar-SA"/>
              </w:rPr>
              <w:t>6</w:t>
            </w:r>
            <w:r>
              <w:rPr>
                <w:rFonts w:ascii="Times New Roman" w:hAnsi="Times New Roman" w:cs="Times New Roman"/>
                <w:sz w:val="22"/>
                <w:lang w:bidi="ar-SA"/>
              </w:rPr>
              <w:t>.9</w:t>
            </w:r>
          </w:p>
        </w:tc>
        <w:tc>
          <w:tcPr>
            <w:tcW w:w="1944" w:type="dxa"/>
            <w:tcBorders>
              <w:bottom w:val="double" w:sz="4" w:space="0" w:color="auto"/>
            </w:tcBorders>
            <w:noWrap/>
            <w:vAlign w:val="center"/>
            <w:hideMark/>
          </w:tcPr>
          <w:p w:rsidR="00860D79" w:rsidRPr="00927B42" w:rsidRDefault="00860D79" w:rsidP="00065004">
            <w:pPr>
              <w:pStyle w:val="LFTTabletext"/>
              <w:spacing w:before="60"/>
              <w:jc w:val="center"/>
              <w:rPr>
                <w:rFonts w:ascii="Times New Roman" w:hAnsi="Times New Roman" w:cs="Times New Roman"/>
                <w:sz w:val="22"/>
                <w:lang w:bidi="ar-SA"/>
              </w:rPr>
            </w:pPr>
            <w:r w:rsidRPr="00927B42">
              <w:rPr>
                <w:rFonts w:ascii="Times New Roman" w:hAnsi="Times New Roman" w:cs="Times New Roman"/>
                <w:sz w:val="22"/>
                <w:lang w:bidi="ar-SA"/>
              </w:rPr>
              <w:t>36</w:t>
            </w:r>
            <w:r>
              <w:rPr>
                <w:rFonts w:ascii="Times New Roman" w:hAnsi="Times New Roman" w:cs="Times New Roman"/>
                <w:sz w:val="22"/>
                <w:lang w:bidi="ar-SA"/>
              </w:rPr>
              <w:t>.</w:t>
            </w:r>
            <w:r w:rsidRPr="00927B42">
              <w:rPr>
                <w:rFonts w:ascii="Times New Roman" w:hAnsi="Times New Roman" w:cs="Times New Roman"/>
                <w:sz w:val="22"/>
                <w:lang w:bidi="ar-SA"/>
              </w:rPr>
              <w:t>4</w:t>
            </w:r>
          </w:p>
        </w:tc>
        <w:tc>
          <w:tcPr>
            <w:tcW w:w="1881" w:type="dxa"/>
            <w:tcBorders>
              <w:bottom w:val="double" w:sz="4" w:space="0" w:color="auto"/>
            </w:tcBorders>
            <w:noWrap/>
            <w:vAlign w:val="center"/>
            <w:hideMark/>
          </w:tcPr>
          <w:p w:rsidR="00860D79" w:rsidRPr="00927B42" w:rsidRDefault="00860D79" w:rsidP="00065004">
            <w:pPr>
              <w:pStyle w:val="LFTTabletext"/>
              <w:spacing w:before="60"/>
              <w:jc w:val="center"/>
              <w:rPr>
                <w:rFonts w:ascii="Times New Roman" w:hAnsi="Times New Roman" w:cs="Times New Roman"/>
                <w:sz w:val="22"/>
                <w:lang w:bidi="ar-SA"/>
              </w:rPr>
            </w:pPr>
            <w:r w:rsidRPr="00927B42">
              <w:rPr>
                <w:rFonts w:ascii="Times New Roman" w:hAnsi="Times New Roman" w:cs="Times New Roman"/>
                <w:sz w:val="22"/>
                <w:lang w:bidi="ar-SA"/>
              </w:rPr>
              <w:t>43</w:t>
            </w:r>
            <w:r>
              <w:rPr>
                <w:rFonts w:ascii="Times New Roman" w:hAnsi="Times New Roman" w:cs="Times New Roman"/>
                <w:sz w:val="22"/>
                <w:lang w:bidi="ar-SA"/>
              </w:rPr>
              <w:t>.3</w:t>
            </w:r>
          </w:p>
        </w:tc>
      </w:tr>
      <w:tr w:rsidR="00860D79" w:rsidRPr="00927B42" w:rsidTr="00860D79">
        <w:trPr>
          <w:trHeight w:val="638"/>
        </w:trPr>
        <w:tc>
          <w:tcPr>
            <w:tcW w:w="1102" w:type="dxa"/>
            <w:tcBorders>
              <w:top w:val="double" w:sz="4" w:space="0" w:color="auto"/>
            </w:tcBorders>
            <w:vAlign w:val="bottom"/>
            <w:hideMark/>
          </w:tcPr>
          <w:p w:rsidR="00860D79" w:rsidRPr="00065004" w:rsidRDefault="00860D79" w:rsidP="00065004">
            <w:pPr>
              <w:pStyle w:val="LFTTableheader2"/>
              <w:spacing w:before="60"/>
              <w:rPr>
                <w:rFonts w:ascii="Times New Roman" w:hAnsi="Times New Roman" w:cs="Times New Roman"/>
                <w:sz w:val="22"/>
                <w:u w:val="single"/>
                <w:lang w:bidi="ar-SA"/>
              </w:rPr>
            </w:pPr>
            <w:r w:rsidRPr="00065004">
              <w:rPr>
                <w:rFonts w:ascii="Times New Roman" w:hAnsi="Times New Roman" w:cs="Times New Roman"/>
                <w:sz w:val="22"/>
                <w:u w:val="single"/>
                <w:lang w:bidi="ar-SA"/>
              </w:rPr>
              <w:t>Unit 4</w:t>
            </w:r>
          </w:p>
        </w:tc>
        <w:tc>
          <w:tcPr>
            <w:tcW w:w="1508" w:type="dxa"/>
            <w:tcBorders>
              <w:top w:val="double" w:sz="4" w:space="0" w:color="auto"/>
            </w:tcBorders>
          </w:tcPr>
          <w:p w:rsidR="00860D79" w:rsidRDefault="00860D79" w:rsidP="009445E1">
            <w:pPr>
              <w:pStyle w:val="LFTTableheader2"/>
              <w:spacing w:before="60"/>
              <w:jc w:val="center"/>
              <w:rPr>
                <w:rFonts w:ascii="Times New Roman" w:hAnsi="Times New Roman" w:cs="Times New Roman"/>
                <w:b w:val="0"/>
                <w:sz w:val="22"/>
                <w:lang w:bidi="ar-SA"/>
              </w:rPr>
            </w:pPr>
            <w:r>
              <w:rPr>
                <w:rFonts w:ascii="Times New Roman" w:hAnsi="Times New Roman" w:cs="Times New Roman"/>
                <w:b w:val="0"/>
                <w:sz w:val="22"/>
                <w:lang w:bidi="ar-SA"/>
              </w:rPr>
              <w:t>Concentration</w:t>
            </w:r>
            <w:r>
              <w:rPr>
                <w:rFonts w:ascii="Times New Roman" w:hAnsi="Times New Roman" w:cs="Times New Roman"/>
                <w:b w:val="0"/>
                <w:sz w:val="22"/>
                <w:lang w:bidi="ar-SA"/>
              </w:rPr>
              <w:br/>
              <w:t>in Biosolids</w:t>
            </w:r>
            <w:r w:rsidR="00420601">
              <w:rPr>
                <w:rFonts w:ascii="Times New Roman" w:hAnsi="Times New Roman" w:cs="Times New Roman"/>
                <w:b w:val="0"/>
                <w:sz w:val="22"/>
                <w:lang w:bidi="ar-SA"/>
              </w:rPr>
              <w:t xml:space="preserve"> </w:t>
            </w:r>
            <w:r w:rsidR="00420601">
              <w:rPr>
                <w:rFonts w:ascii="Times New Roman" w:hAnsi="Times New Roman" w:cs="Times New Roman"/>
                <w:sz w:val="22"/>
                <w:vertAlign w:val="superscript"/>
                <w:lang w:bidi="ar-SA"/>
              </w:rPr>
              <w:t>1</w:t>
            </w:r>
            <w:r>
              <w:rPr>
                <w:rFonts w:ascii="Times New Roman" w:hAnsi="Times New Roman" w:cs="Times New Roman"/>
                <w:b w:val="0"/>
                <w:sz w:val="22"/>
                <w:lang w:bidi="ar-SA"/>
              </w:rPr>
              <w:br/>
            </w:r>
            <w:r>
              <w:rPr>
                <w:rFonts w:ascii="Times New Roman" w:hAnsi="Times New Roman" w:cs="Times New Roman"/>
                <w:b w:val="0"/>
                <w:szCs w:val="18"/>
                <w:u w:val="single"/>
                <w:lang w:bidi="ar-SA"/>
              </w:rPr>
              <w:t>(</w:t>
            </w:r>
            <w:r w:rsidRPr="00860D79">
              <w:rPr>
                <w:rFonts w:ascii="Times New Roman" w:hAnsi="Times New Roman" w:cs="Times New Roman"/>
                <w:b w:val="0"/>
                <w:szCs w:val="18"/>
                <w:u w:val="single"/>
                <w:lang w:bidi="ar-SA"/>
              </w:rPr>
              <w:t>mg/kg</w:t>
            </w:r>
            <w:r>
              <w:rPr>
                <w:rFonts w:ascii="Times New Roman" w:hAnsi="Times New Roman" w:cs="Times New Roman"/>
                <w:b w:val="0"/>
                <w:szCs w:val="18"/>
                <w:u w:val="single"/>
                <w:lang w:bidi="ar-SA"/>
              </w:rPr>
              <w:t>)</w:t>
            </w:r>
          </w:p>
        </w:tc>
        <w:tc>
          <w:tcPr>
            <w:tcW w:w="1882" w:type="dxa"/>
            <w:tcBorders>
              <w:top w:val="double" w:sz="4" w:space="0" w:color="auto"/>
            </w:tcBorders>
            <w:vAlign w:val="center"/>
            <w:hideMark/>
          </w:tcPr>
          <w:p w:rsidR="00860D79" w:rsidRPr="00927B42" w:rsidRDefault="00860D79" w:rsidP="00AF0920">
            <w:pPr>
              <w:pStyle w:val="LFTTableheader2"/>
              <w:spacing w:before="60"/>
              <w:jc w:val="center"/>
              <w:rPr>
                <w:rFonts w:ascii="Times New Roman" w:hAnsi="Times New Roman" w:cs="Times New Roman"/>
                <w:b w:val="0"/>
                <w:sz w:val="22"/>
                <w:lang w:bidi="ar-SA"/>
              </w:rPr>
            </w:pPr>
            <w:r>
              <w:rPr>
                <w:rFonts w:ascii="Times New Roman" w:hAnsi="Times New Roman" w:cs="Times New Roman"/>
                <w:b w:val="0"/>
                <w:sz w:val="22"/>
                <w:lang w:bidi="ar-SA"/>
              </w:rPr>
              <w:t>Emission</w:t>
            </w:r>
            <w:r>
              <w:rPr>
                <w:rFonts w:ascii="Times New Roman" w:hAnsi="Times New Roman" w:cs="Times New Roman"/>
                <w:b w:val="0"/>
                <w:sz w:val="22"/>
                <w:lang w:bidi="ar-SA"/>
              </w:rPr>
              <w:br/>
            </w:r>
            <w:r w:rsidRPr="00927B42">
              <w:rPr>
                <w:rFonts w:ascii="Times New Roman" w:hAnsi="Times New Roman" w:cs="Times New Roman"/>
                <w:b w:val="0"/>
                <w:sz w:val="22"/>
                <w:lang w:bidi="ar-SA"/>
              </w:rPr>
              <w:t>Standard</w:t>
            </w:r>
            <w:r w:rsidRPr="00927B42">
              <w:rPr>
                <w:rFonts w:ascii="Times New Roman" w:hAnsi="Times New Roman" w:cs="Times New Roman"/>
                <w:b w:val="0"/>
                <w:sz w:val="22"/>
                <w:lang w:bidi="ar-SA"/>
              </w:rPr>
              <w:br/>
            </w:r>
            <w:r w:rsidRPr="00065004">
              <w:rPr>
                <w:rFonts w:ascii="Times New Roman" w:hAnsi="Times New Roman" w:cs="Times New Roman"/>
                <w:b w:val="0"/>
                <w:szCs w:val="18"/>
                <w:u w:val="single"/>
                <w:lang w:bidi="ar-SA"/>
              </w:rPr>
              <w:t>(µg/dscm @7% O</w:t>
            </w:r>
            <w:r w:rsidRPr="00065004">
              <w:rPr>
                <w:rFonts w:ascii="Times New Roman" w:hAnsi="Times New Roman" w:cs="Times New Roman"/>
                <w:b w:val="0"/>
                <w:szCs w:val="18"/>
                <w:u w:val="single"/>
                <w:vertAlign w:val="subscript"/>
                <w:lang w:bidi="ar-SA"/>
              </w:rPr>
              <w:t>2</w:t>
            </w:r>
            <w:r w:rsidRPr="00065004">
              <w:rPr>
                <w:rFonts w:ascii="Times New Roman" w:hAnsi="Times New Roman" w:cs="Times New Roman"/>
                <w:b w:val="0"/>
                <w:szCs w:val="18"/>
                <w:u w:val="single"/>
                <w:lang w:bidi="ar-SA"/>
              </w:rPr>
              <w:t>)</w:t>
            </w:r>
          </w:p>
        </w:tc>
        <w:tc>
          <w:tcPr>
            <w:tcW w:w="1944" w:type="dxa"/>
            <w:tcBorders>
              <w:top w:val="double" w:sz="4" w:space="0" w:color="auto"/>
            </w:tcBorders>
            <w:vAlign w:val="center"/>
            <w:hideMark/>
          </w:tcPr>
          <w:p w:rsidR="00860D79" w:rsidRPr="00927B42" w:rsidRDefault="00860D79" w:rsidP="00AF0920">
            <w:pPr>
              <w:pStyle w:val="LFTTableheader2"/>
              <w:spacing w:before="60"/>
              <w:jc w:val="center"/>
              <w:rPr>
                <w:rFonts w:ascii="Times New Roman" w:hAnsi="Times New Roman" w:cs="Times New Roman"/>
                <w:b w:val="0"/>
                <w:sz w:val="22"/>
                <w:lang w:bidi="ar-SA"/>
              </w:rPr>
            </w:pPr>
            <w:r w:rsidRPr="00927B42">
              <w:rPr>
                <w:rFonts w:ascii="Times New Roman" w:hAnsi="Times New Roman" w:cs="Times New Roman"/>
                <w:b w:val="0"/>
                <w:sz w:val="22"/>
                <w:lang w:bidi="ar-SA"/>
              </w:rPr>
              <w:t>2011 Stack Test Highest Result</w:t>
            </w:r>
            <w:r>
              <w:rPr>
                <w:rFonts w:ascii="Times New Roman" w:hAnsi="Times New Roman" w:cs="Times New Roman"/>
                <w:b w:val="0"/>
                <w:sz w:val="22"/>
                <w:lang w:bidi="ar-SA"/>
              </w:rPr>
              <w:t xml:space="preserve"> </w:t>
            </w:r>
            <w:r w:rsidR="00420601">
              <w:rPr>
                <w:rFonts w:ascii="Times New Roman" w:hAnsi="Times New Roman" w:cs="Times New Roman"/>
                <w:sz w:val="22"/>
                <w:vertAlign w:val="superscript"/>
                <w:lang w:bidi="ar-SA"/>
              </w:rPr>
              <w:t>2</w:t>
            </w:r>
            <w:r>
              <w:rPr>
                <w:rFonts w:ascii="Times New Roman" w:hAnsi="Times New Roman" w:cs="Times New Roman"/>
                <w:b w:val="0"/>
                <w:sz w:val="22"/>
                <w:lang w:bidi="ar-SA"/>
              </w:rPr>
              <w:br/>
            </w:r>
            <w:r w:rsidRPr="00065004">
              <w:rPr>
                <w:rFonts w:ascii="Times New Roman" w:hAnsi="Times New Roman" w:cs="Times New Roman"/>
                <w:b w:val="0"/>
                <w:szCs w:val="18"/>
                <w:u w:val="single"/>
                <w:lang w:bidi="ar-SA"/>
              </w:rPr>
              <w:t>(µg/dscm @7% O</w:t>
            </w:r>
            <w:r w:rsidRPr="00065004">
              <w:rPr>
                <w:rFonts w:ascii="Times New Roman" w:hAnsi="Times New Roman" w:cs="Times New Roman"/>
                <w:b w:val="0"/>
                <w:szCs w:val="18"/>
                <w:u w:val="single"/>
                <w:vertAlign w:val="subscript"/>
                <w:lang w:bidi="ar-SA"/>
              </w:rPr>
              <w:t>2</w:t>
            </w:r>
            <w:r w:rsidRPr="00065004">
              <w:rPr>
                <w:rFonts w:ascii="Times New Roman" w:hAnsi="Times New Roman" w:cs="Times New Roman"/>
                <w:b w:val="0"/>
                <w:szCs w:val="18"/>
                <w:u w:val="single"/>
                <w:lang w:bidi="ar-SA"/>
              </w:rPr>
              <w:t>)</w:t>
            </w:r>
          </w:p>
        </w:tc>
        <w:tc>
          <w:tcPr>
            <w:tcW w:w="1944" w:type="dxa"/>
            <w:tcBorders>
              <w:top w:val="double" w:sz="4" w:space="0" w:color="auto"/>
            </w:tcBorders>
            <w:vAlign w:val="center"/>
            <w:hideMark/>
          </w:tcPr>
          <w:p w:rsidR="00860D79" w:rsidRPr="00927B42" w:rsidRDefault="00860D79" w:rsidP="00AF0920">
            <w:pPr>
              <w:pStyle w:val="LFTTableheader2"/>
              <w:spacing w:before="60"/>
              <w:jc w:val="center"/>
              <w:rPr>
                <w:rFonts w:ascii="Times New Roman" w:hAnsi="Times New Roman" w:cs="Times New Roman"/>
                <w:b w:val="0"/>
                <w:sz w:val="22"/>
                <w:lang w:bidi="ar-SA"/>
              </w:rPr>
            </w:pPr>
            <w:r>
              <w:rPr>
                <w:rFonts w:ascii="Times New Roman" w:hAnsi="Times New Roman" w:cs="Times New Roman"/>
                <w:b w:val="0"/>
                <w:sz w:val="22"/>
                <w:lang w:bidi="ar-SA"/>
              </w:rPr>
              <w:t>Addition from</w:t>
            </w:r>
            <w:r>
              <w:rPr>
                <w:rFonts w:ascii="Times New Roman" w:hAnsi="Times New Roman" w:cs="Times New Roman"/>
                <w:b w:val="0"/>
                <w:sz w:val="22"/>
                <w:lang w:bidi="ar-SA"/>
              </w:rPr>
              <w:br/>
            </w:r>
            <w:r w:rsidRPr="001521D7">
              <w:rPr>
                <w:rFonts w:ascii="Times New Roman" w:hAnsi="Times New Roman" w:cs="Times New Roman"/>
                <w:b w:val="0"/>
                <w:sz w:val="22"/>
                <w:lang w:bidi="ar-SA"/>
              </w:rPr>
              <w:t>10% Biosolids</w:t>
            </w:r>
            <w:r>
              <w:rPr>
                <w:rFonts w:ascii="Times New Roman" w:hAnsi="Times New Roman" w:cs="Times New Roman"/>
                <w:b w:val="0"/>
                <w:sz w:val="22"/>
                <w:lang w:bidi="ar-SA"/>
              </w:rPr>
              <w:t xml:space="preserve"> </w:t>
            </w:r>
            <w:r w:rsidR="00420601">
              <w:rPr>
                <w:rFonts w:ascii="Times New Roman" w:hAnsi="Times New Roman" w:cs="Times New Roman"/>
                <w:sz w:val="22"/>
                <w:vertAlign w:val="superscript"/>
                <w:lang w:bidi="ar-SA"/>
              </w:rPr>
              <w:t>3</w:t>
            </w:r>
            <w:r>
              <w:rPr>
                <w:rFonts w:ascii="Times New Roman" w:hAnsi="Times New Roman" w:cs="Times New Roman"/>
                <w:b w:val="0"/>
                <w:sz w:val="22"/>
                <w:lang w:bidi="ar-SA"/>
              </w:rPr>
              <w:br/>
            </w:r>
            <w:r w:rsidRPr="00065004">
              <w:rPr>
                <w:rFonts w:ascii="Times New Roman" w:hAnsi="Times New Roman" w:cs="Times New Roman"/>
                <w:b w:val="0"/>
                <w:szCs w:val="18"/>
                <w:u w:val="single"/>
                <w:lang w:bidi="ar-SA"/>
              </w:rPr>
              <w:t>(µg/dscm @7% O</w:t>
            </w:r>
            <w:r w:rsidRPr="00065004">
              <w:rPr>
                <w:rFonts w:ascii="Times New Roman" w:hAnsi="Times New Roman" w:cs="Times New Roman"/>
                <w:b w:val="0"/>
                <w:szCs w:val="18"/>
                <w:u w:val="single"/>
                <w:vertAlign w:val="subscript"/>
                <w:lang w:bidi="ar-SA"/>
              </w:rPr>
              <w:t>2</w:t>
            </w:r>
            <w:r w:rsidRPr="00065004">
              <w:rPr>
                <w:rFonts w:ascii="Times New Roman" w:hAnsi="Times New Roman" w:cs="Times New Roman"/>
                <w:b w:val="0"/>
                <w:szCs w:val="18"/>
                <w:u w:val="single"/>
                <w:lang w:bidi="ar-SA"/>
              </w:rPr>
              <w:t>)</w:t>
            </w:r>
          </w:p>
        </w:tc>
        <w:tc>
          <w:tcPr>
            <w:tcW w:w="1881" w:type="dxa"/>
            <w:tcBorders>
              <w:top w:val="double" w:sz="4" w:space="0" w:color="auto"/>
            </w:tcBorders>
            <w:vAlign w:val="center"/>
            <w:hideMark/>
          </w:tcPr>
          <w:p w:rsidR="00860D79" w:rsidRPr="00927B42" w:rsidRDefault="00860D79" w:rsidP="009445E1">
            <w:pPr>
              <w:pStyle w:val="LFTTableheader2"/>
              <w:spacing w:before="60"/>
              <w:jc w:val="center"/>
              <w:rPr>
                <w:rFonts w:ascii="Times New Roman" w:hAnsi="Times New Roman" w:cs="Times New Roman"/>
                <w:b w:val="0"/>
                <w:sz w:val="22"/>
                <w:lang w:bidi="ar-SA"/>
              </w:rPr>
            </w:pPr>
            <w:r>
              <w:rPr>
                <w:rFonts w:ascii="Times New Roman" w:hAnsi="Times New Roman" w:cs="Times New Roman"/>
                <w:b w:val="0"/>
                <w:sz w:val="22"/>
                <w:lang w:bidi="ar-SA"/>
              </w:rPr>
              <w:t>Future</w:t>
            </w:r>
            <w:r>
              <w:rPr>
                <w:rFonts w:ascii="Times New Roman" w:hAnsi="Times New Roman" w:cs="Times New Roman"/>
                <w:b w:val="0"/>
                <w:sz w:val="22"/>
                <w:lang w:bidi="ar-SA"/>
              </w:rPr>
              <w:br/>
              <w:t>Concentration</w:t>
            </w:r>
            <w:r>
              <w:rPr>
                <w:rFonts w:ascii="Times New Roman" w:hAnsi="Times New Roman" w:cs="Times New Roman"/>
                <w:b w:val="0"/>
                <w:sz w:val="22"/>
                <w:lang w:bidi="ar-SA"/>
              </w:rPr>
              <w:br/>
            </w:r>
            <w:r w:rsidRPr="00065004">
              <w:rPr>
                <w:rFonts w:ascii="Times New Roman" w:hAnsi="Times New Roman" w:cs="Times New Roman"/>
                <w:b w:val="0"/>
                <w:szCs w:val="18"/>
                <w:u w:val="single"/>
                <w:lang w:bidi="ar-SA"/>
              </w:rPr>
              <w:t>(µg/dscm @ 7% O</w:t>
            </w:r>
            <w:r w:rsidRPr="00065004">
              <w:rPr>
                <w:rFonts w:ascii="Times New Roman" w:hAnsi="Times New Roman" w:cs="Times New Roman"/>
                <w:b w:val="0"/>
                <w:szCs w:val="18"/>
                <w:u w:val="single"/>
                <w:vertAlign w:val="subscript"/>
                <w:lang w:bidi="ar-SA"/>
              </w:rPr>
              <w:t>2</w:t>
            </w:r>
            <w:r w:rsidRPr="00065004">
              <w:rPr>
                <w:rFonts w:ascii="Times New Roman" w:hAnsi="Times New Roman" w:cs="Times New Roman"/>
                <w:b w:val="0"/>
                <w:szCs w:val="18"/>
                <w:u w:val="single"/>
                <w:lang w:bidi="ar-SA"/>
              </w:rPr>
              <w:t>)</w:t>
            </w:r>
          </w:p>
        </w:tc>
      </w:tr>
      <w:tr w:rsidR="00860D79" w:rsidRPr="00927B42" w:rsidTr="00860D79">
        <w:trPr>
          <w:trHeight w:val="300"/>
        </w:trPr>
        <w:tc>
          <w:tcPr>
            <w:tcW w:w="1102" w:type="dxa"/>
            <w:noWrap/>
            <w:vAlign w:val="center"/>
            <w:hideMark/>
          </w:tcPr>
          <w:p w:rsidR="00860D79" w:rsidRPr="00065004" w:rsidRDefault="00860D79" w:rsidP="009445E1">
            <w:pPr>
              <w:pStyle w:val="LFTTabletext"/>
              <w:spacing w:before="60"/>
              <w:rPr>
                <w:rFonts w:ascii="Times New Roman" w:hAnsi="Times New Roman" w:cs="Times New Roman"/>
                <w:b/>
                <w:sz w:val="22"/>
                <w:lang w:bidi="ar-SA"/>
              </w:rPr>
            </w:pPr>
            <w:r w:rsidRPr="00065004">
              <w:rPr>
                <w:rFonts w:ascii="Times New Roman" w:hAnsi="Times New Roman" w:cs="Times New Roman"/>
                <w:b/>
                <w:sz w:val="22"/>
                <w:lang w:bidi="ar-SA"/>
              </w:rPr>
              <w:t>Hg</w:t>
            </w:r>
          </w:p>
        </w:tc>
        <w:tc>
          <w:tcPr>
            <w:tcW w:w="1508" w:type="dxa"/>
          </w:tcPr>
          <w:p w:rsidR="00860D79" w:rsidRPr="00860D79" w:rsidRDefault="00860D79" w:rsidP="00860D79">
            <w:pPr>
              <w:pStyle w:val="LFTTabletext"/>
              <w:spacing w:before="60"/>
              <w:jc w:val="center"/>
              <w:rPr>
                <w:rFonts w:ascii="Times New Roman" w:hAnsi="Times New Roman" w:cs="Times New Roman"/>
                <w:sz w:val="22"/>
                <w:lang w:bidi="ar-SA"/>
              </w:rPr>
            </w:pPr>
            <w:r w:rsidRPr="00860D79">
              <w:rPr>
                <w:rFonts w:ascii="Times New Roman" w:hAnsi="Times New Roman" w:cs="Times New Roman"/>
                <w:sz w:val="22"/>
                <w:lang w:bidi="ar-SA"/>
              </w:rPr>
              <w:t>0.4</w:t>
            </w:r>
          </w:p>
        </w:tc>
        <w:tc>
          <w:tcPr>
            <w:tcW w:w="1882" w:type="dxa"/>
            <w:noWrap/>
            <w:vAlign w:val="center"/>
            <w:hideMark/>
          </w:tcPr>
          <w:p w:rsidR="00860D79" w:rsidRPr="00927B42" w:rsidRDefault="00860D79" w:rsidP="00065004">
            <w:pPr>
              <w:pStyle w:val="LFTTabletext"/>
              <w:spacing w:before="60"/>
              <w:jc w:val="center"/>
              <w:rPr>
                <w:rFonts w:ascii="Times New Roman" w:hAnsi="Times New Roman" w:cs="Times New Roman"/>
                <w:sz w:val="22"/>
                <w:lang w:bidi="ar-SA"/>
              </w:rPr>
            </w:pPr>
            <w:r w:rsidRPr="00927B42">
              <w:rPr>
                <w:rFonts w:ascii="Times New Roman" w:hAnsi="Times New Roman" w:cs="Times New Roman"/>
                <w:sz w:val="22"/>
                <w:lang w:bidi="ar-SA"/>
              </w:rPr>
              <w:t>28</w:t>
            </w:r>
          </w:p>
        </w:tc>
        <w:tc>
          <w:tcPr>
            <w:tcW w:w="1944" w:type="dxa"/>
            <w:noWrap/>
            <w:vAlign w:val="center"/>
            <w:hideMark/>
          </w:tcPr>
          <w:p w:rsidR="00860D79" w:rsidRPr="00927B42" w:rsidRDefault="00860D79" w:rsidP="00065004">
            <w:pPr>
              <w:pStyle w:val="LFTTabletext"/>
              <w:spacing w:before="60"/>
              <w:jc w:val="center"/>
              <w:rPr>
                <w:rFonts w:ascii="Times New Roman" w:hAnsi="Times New Roman" w:cs="Times New Roman"/>
                <w:sz w:val="22"/>
                <w:lang w:bidi="ar-SA"/>
              </w:rPr>
            </w:pPr>
            <w:r w:rsidRPr="00927B42">
              <w:rPr>
                <w:rFonts w:ascii="Times New Roman" w:hAnsi="Times New Roman" w:cs="Times New Roman"/>
                <w:sz w:val="22"/>
                <w:lang w:bidi="ar-SA"/>
              </w:rPr>
              <w:t>1</w:t>
            </w:r>
            <w:r>
              <w:rPr>
                <w:rFonts w:ascii="Times New Roman" w:hAnsi="Times New Roman" w:cs="Times New Roman"/>
                <w:sz w:val="22"/>
                <w:lang w:bidi="ar-SA"/>
              </w:rPr>
              <w:t>.</w:t>
            </w:r>
            <w:r w:rsidRPr="00927B42">
              <w:rPr>
                <w:rFonts w:ascii="Times New Roman" w:hAnsi="Times New Roman" w:cs="Times New Roman"/>
                <w:sz w:val="22"/>
                <w:lang w:bidi="ar-SA"/>
              </w:rPr>
              <w:t>4</w:t>
            </w:r>
          </w:p>
        </w:tc>
        <w:tc>
          <w:tcPr>
            <w:tcW w:w="1944" w:type="dxa"/>
            <w:noWrap/>
            <w:vAlign w:val="center"/>
            <w:hideMark/>
          </w:tcPr>
          <w:p w:rsidR="00860D79" w:rsidRPr="00927B42" w:rsidRDefault="00860D79" w:rsidP="00065004">
            <w:pPr>
              <w:pStyle w:val="LFTTabletext"/>
              <w:spacing w:before="60"/>
              <w:jc w:val="center"/>
              <w:rPr>
                <w:rFonts w:ascii="Times New Roman" w:hAnsi="Times New Roman" w:cs="Times New Roman"/>
                <w:sz w:val="22"/>
                <w:lang w:bidi="ar-SA"/>
              </w:rPr>
            </w:pPr>
            <w:r w:rsidRPr="00927B42">
              <w:rPr>
                <w:rFonts w:ascii="Times New Roman" w:hAnsi="Times New Roman" w:cs="Times New Roman"/>
                <w:sz w:val="22"/>
                <w:lang w:bidi="ar-SA"/>
              </w:rPr>
              <w:t>1</w:t>
            </w:r>
            <w:r>
              <w:rPr>
                <w:rFonts w:ascii="Times New Roman" w:hAnsi="Times New Roman" w:cs="Times New Roman"/>
                <w:sz w:val="22"/>
                <w:lang w:bidi="ar-SA"/>
              </w:rPr>
              <w:t>.</w:t>
            </w:r>
            <w:r w:rsidRPr="00927B42">
              <w:rPr>
                <w:rFonts w:ascii="Times New Roman" w:hAnsi="Times New Roman" w:cs="Times New Roman"/>
                <w:sz w:val="22"/>
                <w:lang w:bidi="ar-SA"/>
              </w:rPr>
              <w:t>2</w:t>
            </w:r>
          </w:p>
        </w:tc>
        <w:tc>
          <w:tcPr>
            <w:tcW w:w="1881" w:type="dxa"/>
            <w:noWrap/>
            <w:vAlign w:val="center"/>
            <w:hideMark/>
          </w:tcPr>
          <w:p w:rsidR="00860D79" w:rsidRPr="00927B42" w:rsidRDefault="00860D79" w:rsidP="00065004">
            <w:pPr>
              <w:pStyle w:val="LFTTabletext"/>
              <w:spacing w:before="60"/>
              <w:jc w:val="center"/>
              <w:rPr>
                <w:rFonts w:ascii="Times New Roman" w:hAnsi="Times New Roman" w:cs="Times New Roman"/>
                <w:sz w:val="22"/>
                <w:lang w:bidi="ar-SA"/>
              </w:rPr>
            </w:pPr>
            <w:r w:rsidRPr="00927B42">
              <w:rPr>
                <w:rFonts w:ascii="Times New Roman" w:hAnsi="Times New Roman" w:cs="Times New Roman"/>
                <w:sz w:val="22"/>
                <w:lang w:bidi="ar-SA"/>
              </w:rPr>
              <w:t>2</w:t>
            </w:r>
            <w:r>
              <w:rPr>
                <w:rFonts w:ascii="Times New Roman" w:hAnsi="Times New Roman" w:cs="Times New Roman"/>
                <w:sz w:val="22"/>
                <w:lang w:bidi="ar-SA"/>
              </w:rPr>
              <w:t>.</w:t>
            </w:r>
            <w:r w:rsidRPr="00927B42">
              <w:rPr>
                <w:rFonts w:ascii="Times New Roman" w:hAnsi="Times New Roman" w:cs="Times New Roman"/>
                <w:sz w:val="22"/>
                <w:lang w:bidi="ar-SA"/>
              </w:rPr>
              <w:t>6</w:t>
            </w:r>
          </w:p>
        </w:tc>
      </w:tr>
      <w:tr w:rsidR="00860D79" w:rsidRPr="00927B42" w:rsidTr="00860D79">
        <w:trPr>
          <w:trHeight w:val="300"/>
        </w:trPr>
        <w:tc>
          <w:tcPr>
            <w:tcW w:w="1102" w:type="dxa"/>
            <w:noWrap/>
            <w:vAlign w:val="center"/>
            <w:hideMark/>
          </w:tcPr>
          <w:p w:rsidR="00860D79" w:rsidRPr="00065004" w:rsidRDefault="00860D79" w:rsidP="009445E1">
            <w:pPr>
              <w:pStyle w:val="LFTTabletext"/>
              <w:spacing w:before="60"/>
              <w:rPr>
                <w:rFonts w:ascii="Times New Roman" w:hAnsi="Times New Roman" w:cs="Times New Roman"/>
                <w:b/>
                <w:sz w:val="22"/>
                <w:lang w:bidi="ar-SA"/>
              </w:rPr>
            </w:pPr>
            <w:r w:rsidRPr="00065004">
              <w:rPr>
                <w:rFonts w:ascii="Times New Roman" w:hAnsi="Times New Roman" w:cs="Times New Roman"/>
                <w:b/>
                <w:sz w:val="22"/>
                <w:lang w:bidi="ar-SA"/>
              </w:rPr>
              <w:t>Cd</w:t>
            </w:r>
          </w:p>
        </w:tc>
        <w:tc>
          <w:tcPr>
            <w:tcW w:w="1508" w:type="dxa"/>
          </w:tcPr>
          <w:p w:rsidR="00860D79" w:rsidRPr="00860D79" w:rsidRDefault="00860D79" w:rsidP="00860D79">
            <w:pPr>
              <w:pStyle w:val="LFTTabletext"/>
              <w:spacing w:before="60"/>
              <w:jc w:val="center"/>
              <w:rPr>
                <w:rFonts w:ascii="Times New Roman" w:hAnsi="Times New Roman" w:cs="Times New Roman"/>
                <w:sz w:val="22"/>
                <w:lang w:bidi="ar-SA"/>
              </w:rPr>
            </w:pPr>
            <w:r w:rsidRPr="00860D79">
              <w:rPr>
                <w:rFonts w:ascii="Times New Roman" w:hAnsi="Times New Roman" w:cs="Times New Roman"/>
                <w:sz w:val="22"/>
                <w:lang w:bidi="ar-SA"/>
              </w:rPr>
              <w:t>2.4</w:t>
            </w:r>
          </w:p>
        </w:tc>
        <w:tc>
          <w:tcPr>
            <w:tcW w:w="1882" w:type="dxa"/>
            <w:noWrap/>
            <w:vAlign w:val="center"/>
            <w:hideMark/>
          </w:tcPr>
          <w:p w:rsidR="00860D79" w:rsidRPr="00927B42" w:rsidRDefault="00860D79" w:rsidP="00065004">
            <w:pPr>
              <w:pStyle w:val="LFTTabletext"/>
              <w:spacing w:before="60"/>
              <w:jc w:val="center"/>
              <w:rPr>
                <w:rFonts w:ascii="Times New Roman" w:hAnsi="Times New Roman" w:cs="Times New Roman"/>
                <w:sz w:val="22"/>
                <w:lang w:bidi="ar-SA"/>
              </w:rPr>
            </w:pPr>
            <w:r w:rsidRPr="00927B42">
              <w:rPr>
                <w:rFonts w:ascii="Times New Roman" w:hAnsi="Times New Roman" w:cs="Times New Roman"/>
                <w:sz w:val="22"/>
                <w:lang w:bidi="ar-SA"/>
              </w:rPr>
              <w:t>10</w:t>
            </w:r>
          </w:p>
        </w:tc>
        <w:tc>
          <w:tcPr>
            <w:tcW w:w="1944" w:type="dxa"/>
            <w:noWrap/>
            <w:vAlign w:val="center"/>
            <w:hideMark/>
          </w:tcPr>
          <w:p w:rsidR="00860D79" w:rsidRPr="00927B42" w:rsidRDefault="00860D79" w:rsidP="00065004">
            <w:pPr>
              <w:pStyle w:val="LFTTabletext"/>
              <w:spacing w:before="60"/>
              <w:jc w:val="center"/>
              <w:rPr>
                <w:rFonts w:ascii="Times New Roman" w:hAnsi="Times New Roman" w:cs="Times New Roman"/>
                <w:sz w:val="22"/>
                <w:lang w:bidi="ar-SA"/>
              </w:rPr>
            </w:pPr>
            <w:r w:rsidRPr="00927B42">
              <w:rPr>
                <w:rFonts w:ascii="Times New Roman" w:hAnsi="Times New Roman" w:cs="Times New Roman"/>
                <w:sz w:val="22"/>
                <w:lang w:bidi="ar-SA"/>
              </w:rPr>
              <w:t>0</w:t>
            </w:r>
            <w:r>
              <w:rPr>
                <w:rFonts w:ascii="Times New Roman" w:hAnsi="Times New Roman" w:cs="Times New Roman"/>
                <w:sz w:val="22"/>
                <w:lang w:bidi="ar-SA"/>
              </w:rPr>
              <w:t>.</w:t>
            </w:r>
            <w:r w:rsidRPr="00927B42">
              <w:rPr>
                <w:rFonts w:ascii="Times New Roman" w:hAnsi="Times New Roman" w:cs="Times New Roman"/>
                <w:sz w:val="22"/>
                <w:lang w:bidi="ar-SA"/>
              </w:rPr>
              <w:t>39</w:t>
            </w:r>
          </w:p>
        </w:tc>
        <w:tc>
          <w:tcPr>
            <w:tcW w:w="1944" w:type="dxa"/>
            <w:noWrap/>
            <w:vAlign w:val="center"/>
            <w:hideMark/>
          </w:tcPr>
          <w:p w:rsidR="00860D79" w:rsidRPr="00927B42" w:rsidRDefault="00860D79" w:rsidP="00065004">
            <w:pPr>
              <w:pStyle w:val="LFTTabletext"/>
              <w:spacing w:before="60"/>
              <w:jc w:val="center"/>
              <w:rPr>
                <w:rFonts w:ascii="Times New Roman" w:hAnsi="Times New Roman" w:cs="Times New Roman"/>
                <w:sz w:val="22"/>
                <w:lang w:bidi="ar-SA"/>
              </w:rPr>
            </w:pPr>
            <w:r w:rsidRPr="00927B42">
              <w:rPr>
                <w:rFonts w:ascii="Times New Roman" w:hAnsi="Times New Roman" w:cs="Times New Roman"/>
                <w:sz w:val="22"/>
                <w:lang w:bidi="ar-SA"/>
              </w:rPr>
              <w:t>6</w:t>
            </w:r>
            <w:r>
              <w:rPr>
                <w:rFonts w:ascii="Times New Roman" w:hAnsi="Times New Roman" w:cs="Times New Roman"/>
                <w:sz w:val="22"/>
                <w:lang w:bidi="ar-SA"/>
              </w:rPr>
              <w:t>.</w:t>
            </w:r>
            <w:r w:rsidRPr="00927B42">
              <w:rPr>
                <w:rFonts w:ascii="Times New Roman" w:hAnsi="Times New Roman" w:cs="Times New Roman"/>
                <w:sz w:val="22"/>
                <w:lang w:bidi="ar-SA"/>
              </w:rPr>
              <w:t>9</w:t>
            </w:r>
          </w:p>
        </w:tc>
        <w:tc>
          <w:tcPr>
            <w:tcW w:w="1881" w:type="dxa"/>
            <w:noWrap/>
            <w:vAlign w:val="center"/>
            <w:hideMark/>
          </w:tcPr>
          <w:p w:rsidR="00860D79" w:rsidRPr="00927B42" w:rsidRDefault="00860D79" w:rsidP="00065004">
            <w:pPr>
              <w:pStyle w:val="LFTTabletext"/>
              <w:spacing w:before="60"/>
              <w:jc w:val="center"/>
              <w:rPr>
                <w:rFonts w:ascii="Times New Roman" w:hAnsi="Times New Roman" w:cs="Times New Roman"/>
                <w:sz w:val="22"/>
                <w:lang w:bidi="ar-SA"/>
              </w:rPr>
            </w:pPr>
            <w:r w:rsidRPr="00927B42">
              <w:rPr>
                <w:rFonts w:ascii="Times New Roman" w:hAnsi="Times New Roman" w:cs="Times New Roman"/>
                <w:sz w:val="22"/>
                <w:lang w:bidi="ar-SA"/>
              </w:rPr>
              <w:t>7</w:t>
            </w:r>
            <w:r>
              <w:rPr>
                <w:rFonts w:ascii="Times New Roman" w:hAnsi="Times New Roman" w:cs="Times New Roman"/>
                <w:sz w:val="22"/>
                <w:lang w:bidi="ar-SA"/>
              </w:rPr>
              <w:t>.</w:t>
            </w:r>
            <w:r w:rsidRPr="00927B42">
              <w:rPr>
                <w:rFonts w:ascii="Times New Roman" w:hAnsi="Times New Roman" w:cs="Times New Roman"/>
                <w:sz w:val="22"/>
                <w:lang w:bidi="ar-SA"/>
              </w:rPr>
              <w:t>3</w:t>
            </w:r>
          </w:p>
        </w:tc>
      </w:tr>
      <w:tr w:rsidR="00860D79" w:rsidRPr="00927B42" w:rsidTr="00860D79">
        <w:trPr>
          <w:trHeight w:val="300"/>
        </w:trPr>
        <w:tc>
          <w:tcPr>
            <w:tcW w:w="1102" w:type="dxa"/>
            <w:noWrap/>
            <w:vAlign w:val="center"/>
            <w:hideMark/>
          </w:tcPr>
          <w:p w:rsidR="00860D79" w:rsidRPr="00065004" w:rsidRDefault="00860D79" w:rsidP="009445E1">
            <w:pPr>
              <w:pStyle w:val="LFTTabletext"/>
              <w:spacing w:before="60"/>
              <w:rPr>
                <w:rFonts w:ascii="Times New Roman" w:hAnsi="Times New Roman" w:cs="Times New Roman"/>
                <w:b/>
                <w:sz w:val="22"/>
                <w:lang w:bidi="ar-SA"/>
              </w:rPr>
            </w:pPr>
            <w:r w:rsidRPr="00065004">
              <w:rPr>
                <w:rFonts w:ascii="Times New Roman" w:hAnsi="Times New Roman" w:cs="Times New Roman"/>
                <w:b/>
                <w:sz w:val="22"/>
                <w:lang w:bidi="ar-SA"/>
              </w:rPr>
              <w:t>Pb</w:t>
            </w:r>
          </w:p>
        </w:tc>
        <w:tc>
          <w:tcPr>
            <w:tcW w:w="1508" w:type="dxa"/>
          </w:tcPr>
          <w:p w:rsidR="00860D79" w:rsidRPr="00860D79" w:rsidRDefault="00860D79" w:rsidP="00860D79">
            <w:pPr>
              <w:pStyle w:val="LFTTabletext"/>
              <w:spacing w:before="60"/>
              <w:jc w:val="center"/>
              <w:rPr>
                <w:rFonts w:ascii="Times New Roman" w:hAnsi="Times New Roman" w:cs="Times New Roman"/>
                <w:sz w:val="22"/>
                <w:lang w:bidi="ar-SA"/>
              </w:rPr>
            </w:pPr>
            <w:r w:rsidRPr="00860D79">
              <w:rPr>
                <w:rFonts w:ascii="Times New Roman" w:hAnsi="Times New Roman" w:cs="Times New Roman"/>
                <w:sz w:val="22"/>
                <w:lang w:bidi="ar-SA"/>
              </w:rPr>
              <w:t>12.8</w:t>
            </w:r>
          </w:p>
        </w:tc>
        <w:tc>
          <w:tcPr>
            <w:tcW w:w="1882" w:type="dxa"/>
            <w:noWrap/>
            <w:vAlign w:val="center"/>
            <w:hideMark/>
          </w:tcPr>
          <w:p w:rsidR="00860D79" w:rsidRPr="00927B42" w:rsidRDefault="00860D79" w:rsidP="00065004">
            <w:pPr>
              <w:pStyle w:val="LFTTabletext"/>
              <w:spacing w:before="60"/>
              <w:jc w:val="center"/>
              <w:rPr>
                <w:rFonts w:ascii="Times New Roman" w:hAnsi="Times New Roman" w:cs="Times New Roman"/>
                <w:sz w:val="22"/>
                <w:lang w:bidi="ar-SA"/>
              </w:rPr>
            </w:pPr>
            <w:r w:rsidRPr="00927B42">
              <w:rPr>
                <w:rFonts w:ascii="Times New Roman" w:hAnsi="Times New Roman" w:cs="Times New Roman"/>
                <w:sz w:val="22"/>
                <w:lang w:bidi="ar-SA"/>
              </w:rPr>
              <w:t>140</w:t>
            </w:r>
          </w:p>
        </w:tc>
        <w:tc>
          <w:tcPr>
            <w:tcW w:w="1944" w:type="dxa"/>
            <w:noWrap/>
            <w:vAlign w:val="center"/>
            <w:hideMark/>
          </w:tcPr>
          <w:p w:rsidR="00860D79" w:rsidRPr="00927B42" w:rsidRDefault="00860D79" w:rsidP="00065004">
            <w:pPr>
              <w:pStyle w:val="LFTTabletext"/>
              <w:spacing w:before="60"/>
              <w:jc w:val="center"/>
              <w:rPr>
                <w:rFonts w:ascii="Times New Roman" w:hAnsi="Times New Roman" w:cs="Times New Roman"/>
                <w:sz w:val="22"/>
                <w:lang w:bidi="ar-SA"/>
              </w:rPr>
            </w:pPr>
            <w:r w:rsidRPr="00927B42">
              <w:rPr>
                <w:rFonts w:ascii="Times New Roman" w:hAnsi="Times New Roman" w:cs="Times New Roman"/>
                <w:sz w:val="22"/>
                <w:lang w:bidi="ar-SA"/>
              </w:rPr>
              <w:t>4</w:t>
            </w:r>
            <w:r>
              <w:rPr>
                <w:rFonts w:ascii="Times New Roman" w:hAnsi="Times New Roman" w:cs="Times New Roman"/>
                <w:sz w:val="22"/>
                <w:lang w:bidi="ar-SA"/>
              </w:rPr>
              <w:t>.</w:t>
            </w:r>
            <w:r w:rsidRPr="00927B42">
              <w:rPr>
                <w:rFonts w:ascii="Times New Roman" w:hAnsi="Times New Roman" w:cs="Times New Roman"/>
                <w:sz w:val="22"/>
                <w:lang w:bidi="ar-SA"/>
              </w:rPr>
              <w:t>6</w:t>
            </w:r>
          </w:p>
        </w:tc>
        <w:tc>
          <w:tcPr>
            <w:tcW w:w="1944" w:type="dxa"/>
            <w:noWrap/>
            <w:vAlign w:val="center"/>
            <w:hideMark/>
          </w:tcPr>
          <w:p w:rsidR="00860D79" w:rsidRPr="00927B42" w:rsidRDefault="00860D79" w:rsidP="00065004">
            <w:pPr>
              <w:pStyle w:val="LFTTabletext"/>
              <w:spacing w:before="60"/>
              <w:jc w:val="center"/>
              <w:rPr>
                <w:rFonts w:ascii="Times New Roman" w:hAnsi="Times New Roman" w:cs="Times New Roman"/>
                <w:sz w:val="22"/>
                <w:lang w:bidi="ar-SA"/>
              </w:rPr>
            </w:pPr>
            <w:r w:rsidRPr="00927B42">
              <w:rPr>
                <w:rFonts w:ascii="Times New Roman" w:hAnsi="Times New Roman" w:cs="Times New Roman"/>
                <w:sz w:val="22"/>
                <w:lang w:bidi="ar-SA"/>
              </w:rPr>
              <w:t>36</w:t>
            </w:r>
            <w:r>
              <w:rPr>
                <w:rFonts w:ascii="Times New Roman" w:hAnsi="Times New Roman" w:cs="Times New Roman"/>
                <w:sz w:val="22"/>
                <w:lang w:bidi="ar-SA"/>
              </w:rPr>
              <w:t>.</w:t>
            </w:r>
            <w:r w:rsidRPr="00927B42">
              <w:rPr>
                <w:rFonts w:ascii="Times New Roman" w:hAnsi="Times New Roman" w:cs="Times New Roman"/>
                <w:sz w:val="22"/>
                <w:lang w:bidi="ar-SA"/>
              </w:rPr>
              <w:t>4</w:t>
            </w:r>
          </w:p>
        </w:tc>
        <w:tc>
          <w:tcPr>
            <w:tcW w:w="1881" w:type="dxa"/>
            <w:noWrap/>
            <w:vAlign w:val="center"/>
            <w:hideMark/>
          </w:tcPr>
          <w:p w:rsidR="00860D79" w:rsidRPr="00927B42" w:rsidRDefault="00860D79" w:rsidP="00065004">
            <w:pPr>
              <w:pStyle w:val="LFTTabletext"/>
              <w:spacing w:before="60"/>
              <w:jc w:val="center"/>
              <w:rPr>
                <w:rFonts w:ascii="Times New Roman" w:hAnsi="Times New Roman" w:cs="Times New Roman"/>
                <w:sz w:val="22"/>
                <w:lang w:bidi="ar-SA"/>
              </w:rPr>
            </w:pPr>
            <w:r w:rsidRPr="00927B42">
              <w:rPr>
                <w:rFonts w:ascii="Times New Roman" w:hAnsi="Times New Roman" w:cs="Times New Roman"/>
                <w:sz w:val="22"/>
                <w:lang w:bidi="ar-SA"/>
              </w:rPr>
              <w:t>41</w:t>
            </w:r>
            <w:r>
              <w:rPr>
                <w:rFonts w:ascii="Times New Roman" w:hAnsi="Times New Roman" w:cs="Times New Roman"/>
                <w:sz w:val="22"/>
                <w:lang w:bidi="ar-SA"/>
              </w:rPr>
              <w:t>.</w:t>
            </w:r>
            <w:r w:rsidRPr="00927B42">
              <w:rPr>
                <w:rFonts w:ascii="Times New Roman" w:hAnsi="Times New Roman" w:cs="Times New Roman"/>
                <w:sz w:val="22"/>
                <w:lang w:bidi="ar-SA"/>
              </w:rPr>
              <w:t>0</w:t>
            </w:r>
          </w:p>
        </w:tc>
      </w:tr>
      <w:tr w:rsidR="00860D79" w:rsidRPr="00927B42" w:rsidTr="00860D79">
        <w:trPr>
          <w:trHeight w:val="300"/>
        </w:trPr>
        <w:tc>
          <w:tcPr>
            <w:tcW w:w="10261" w:type="dxa"/>
            <w:gridSpan w:val="6"/>
          </w:tcPr>
          <w:p w:rsidR="00420601" w:rsidRDefault="00420601" w:rsidP="00D623D7">
            <w:pPr>
              <w:pStyle w:val="LFTTabletext"/>
              <w:numPr>
                <w:ilvl w:val="0"/>
                <w:numId w:val="18"/>
              </w:numPr>
              <w:spacing w:before="20" w:after="20"/>
              <w:ind w:left="346"/>
              <w:rPr>
                <w:rFonts w:ascii="Times New Roman" w:hAnsi="Times New Roman" w:cs="Times New Roman"/>
                <w:szCs w:val="18"/>
                <w:lang w:bidi="ar-SA"/>
              </w:rPr>
            </w:pPr>
            <w:proofErr w:type="gramStart"/>
            <w:r>
              <w:rPr>
                <w:rFonts w:ascii="Times New Roman" w:hAnsi="Times New Roman" w:cs="Times New Roman"/>
                <w:szCs w:val="18"/>
                <w:lang w:bidi="ar-SA"/>
              </w:rPr>
              <w:t>Milligrams per kilograms (mg/kg) equals</w:t>
            </w:r>
            <w:proofErr w:type="gramEnd"/>
            <w:r>
              <w:rPr>
                <w:rFonts w:ascii="Times New Roman" w:hAnsi="Times New Roman" w:cs="Times New Roman"/>
                <w:szCs w:val="18"/>
                <w:lang w:bidi="ar-SA"/>
              </w:rPr>
              <w:t xml:space="preserve"> ppm by weight.  These are values averaged over samples taken from the Falkenburg, Valrico, South County and Northwest </w:t>
            </w:r>
          </w:p>
          <w:p w:rsidR="00860D79" w:rsidRDefault="00A53769" w:rsidP="00D623D7">
            <w:pPr>
              <w:pStyle w:val="LFTTabletext"/>
              <w:numPr>
                <w:ilvl w:val="0"/>
                <w:numId w:val="18"/>
              </w:numPr>
              <w:spacing w:after="20"/>
              <w:ind w:left="346"/>
              <w:rPr>
                <w:rFonts w:ascii="Times New Roman" w:hAnsi="Times New Roman" w:cs="Times New Roman"/>
                <w:szCs w:val="18"/>
                <w:lang w:bidi="ar-SA"/>
              </w:rPr>
            </w:pPr>
            <w:r w:rsidRPr="001521D7">
              <w:rPr>
                <w:rFonts w:ascii="Times New Roman" w:hAnsi="Times New Roman" w:cs="Times New Roman"/>
                <w:szCs w:val="18"/>
                <w:lang w:bidi="ar-SA"/>
              </w:rPr>
              <w:t>10% biosolids</w:t>
            </w:r>
            <w:r>
              <w:rPr>
                <w:rFonts w:ascii="Times New Roman" w:hAnsi="Times New Roman" w:cs="Times New Roman"/>
                <w:szCs w:val="18"/>
                <w:lang w:bidi="ar-SA"/>
              </w:rPr>
              <w:t xml:space="preserve"> e</w:t>
            </w:r>
            <w:r w:rsidR="00860D79">
              <w:rPr>
                <w:rFonts w:ascii="Times New Roman" w:hAnsi="Times New Roman" w:cs="Times New Roman"/>
                <w:szCs w:val="18"/>
                <w:lang w:bidi="ar-SA"/>
              </w:rPr>
              <w:t xml:space="preserve">quals approximately </w:t>
            </w:r>
            <w:r w:rsidR="00860D79" w:rsidRPr="001521D7">
              <w:rPr>
                <w:rFonts w:ascii="Times New Roman" w:hAnsi="Times New Roman" w:cs="Times New Roman"/>
                <w:szCs w:val="18"/>
                <w:lang w:bidi="ar-SA"/>
              </w:rPr>
              <w:t>180 tons/day</w:t>
            </w:r>
            <w:r w:rsidR="00420601">
              <w:rPr>
                <w:rFonts w:ascii="Times New Roman" w:hAnsi="Times New Roman" w:cs="Times New Roman"/>
                <w:szCs w:val="18"/>
                <w:lang w:bidi="ar-SA"/>
              </w:rPr>
              <w:t>.</w:t>
            </w:r>
            <w:r w:rsidR="001521D7">
              <w:rPr>
                <w:rFonts w:ascii="Times New Roman" w:hAnsi="Times New Roman" w:cs="Times New Roman"/>
                <w:szCs w:val="18"/>
                <w:lang w:bidi="ar-SA"/>
              </w:rPr>
              <w:t xml:space="preserve">  Only 5% </w:t>
            </w:r>
            <w:proofErr w:type="spellStart"/>
            <w:r w:rsidR="001521D7">
              <w:rPr>
                <w:rFonts w:ascii="Times New Roman" w:hAnsi="Times New Roman" w:cs="Times New Roman"/>
                <w:szCs w:val="18"/>
                <w:lang w:bidi="ar-SA"/>
              </w:rPr>
              <w:t>biosolids</w:t>
            </w:r>
            <w:proofErr w:type="spellEnd"/>
            <w:r w:rsidR="001521D7">
              <w:rPr>
                <w:rFonts w:ascii="Times New Roman" w:hAnsi="Times New Roman" w:cs="Times New Roman"/>
                <w:szCs w:val="18"/>
                <w:lang w:bidi="ar-SA"/>
              </w:rPr>
              <w:t xml:space="preserve"> and 90 tons/day will actually be combusted.</w:t>
            </w:r>
          </w:p>
          <w:p w:rsidR="00860D79" w:rsidRPr="00A53769" w:rsidRDefault="00860D79" w:rsidP="00D623D7">
            <w:pPr>
              <w:pStyle w:val="LFTTabletext"/>
              <w:numPr>
                <w:ilvl w:val="0"/>
                <w:numId w:val="18"/>
              </w:numPr>
              <w:spacing w:after="20"/>
              <w:ind w:left="346"/>
              <w:rPr>
                <w:rFonts w:ascii="Times New Roman" w:hAnsi="Times New Roman" w:cs="Times New Roman"/>
                <w:szCs w:val="18"/>
                <w:lang w:bidi="ar-SA"/>
              </w:rPr>
            </w:pPr>
            <w:r w:rsidRPr="001041D9">
              <w:rPr>
                <w:rFonts w:ascii="Times New Roman" w:hAnsi="Times New Roman" w:cs="Times New Roman"/>
                <w:szCs w:val="18"/>
                <w:lang w:bidi="ar-SA"/>
              </w:rPr>
              <w:t xml:space="preserve">The applicant assumed that </w:t>
            </w:r>
            <w:r>
              <w:rPr>
                <w:rFonts w:ascii="Times New Roman" w:hAnsi="Times New Roman" w:cs="Times New Roman"/>
                <w:szCs w:val="18"/>
                <w:lang w:bidi="ar-SA"/>
              </w:rPr>
              <w:t xml:space="preserve">all Hg, Cd and Pb contained in the biosolids will be volatilized and </w:t>
            </w:r>
            <w:r w:rsidRPr="001041D9">
              <w:rPr>
                <w:rFonts w:ascii="Times New Roman" w:hAnsi="Times New Roman" w:cs="Times New Roman"/>
                <w:szCs w:val="18"/>
                <w:lang w:bidi="ar-SA"/>
              </w:rPr>
              <w:t>th</w:t>
            </w:r>
            <w:r>
              <w:rPr>
                <w:rFonts w:ascii="Times New Roman" w:hAnsi="Times New Roman" w:cs="Times New Roman"/>
                <w:szCs w:val="18"/>
                <w:lang w:bidi="ar-SA"/>
              </w:rPr>
              <w:t xml:space="preserve">at the existing </w:t>
            </w:r>
            <w:r w:rsidRPr="001041D9">
              <w:rPr>
                <w:rFonts w:ascii="Times New Roman" w:hAnsi="Times New Roman" w:cs="Times New Roman"/>
                <w:szCs w:val="18"/>
                <w:lang w:bidi="ar-SA"/>
              </w:rPr>
              <w:t xml:space="preserve">air pollution control equipment will remove 85% of </w:t>
            </w:r>
            <w:r>
              <w:rPr>
                <w:rFonts w:ascii="Times New Roman" w:hAnsi="Times New Roman" w:cs="Times New Roman"/>
                <w:szCs w:val="18"/>
                <w:lang w:bidi="ar-SA"/>
              </w:rPr>
              <w:t>each metal from the exhaust gas stream.  This is a conservative assumption and makes it appear as if biosolids will increase Cd and Pb exhaust gas concentrations by an order of magnitude but still well within the emission standards.</w:t>
            </w:r>
          </w:p>
        </w:tc>
      </w:tr>
    </w:tbl>
    <w:p w:rsidR="00FF3F3B" w:rsidRDefault="00FF3F3B" w:rsidP="00FF3F3B">
      <w:pPr>
        <w:pStyle w:val="BodyText"/>
        <w:widowControl w:val="0"/>
        <w:spacing w:before="120"/>
        <w:rPr>
          <w:sz w:val="22"/>
        </w:rPr>
      </w:pPr>
      <w:r w:rsidRPr="0027299E">
        <w:rPr>
          <w:sz w:val="22"/>
        </w:rPr>
        <w:t>The</w:t>
      </w:r>
      <w:r>
        <w:rPr>
          <w:sz w:val="22"/>
        </w:rPr>
        <w:t xml:space="preserve"> Department concludes that use of 5% </w:t>
      </w:r>
      <w:proofErr w:type="spellStart"/>
      <w:r>
        <w:rPr>
          <w:sz w:val="22"/>
        </w:rPr>
        <w:t>biosolids</w:t>
      </w:r>
      <w:proofErr w:type="spellEnd"/>
      <w:r>
        <w:rPr>
          <w:sz w:val="22"/>
        </w:rPr>
        <w:t xml:space="preserve"> by weight will not trigger PSD and will not cause emission concentrations in the exhaust gases equal to or greater than the applicable limits contained in the Department’s MWC Rule, 40 CFR 60, Subpart </w:t>
      </w:r>
      <w:proofErr w:type="spellStart"/>
      <w:r>
        <w:rPr>
          <w:sz w:val="22"/>
        </w:rPr>
        <w:t>Eb</w:t>
      </w:r>
      <w:proofErr w:type="spellEnd"/>
      <w:r>
        <w:rPr>
          <w:sz w:val="22"/>
        </w:rPr>
        <w:t xml:space="preserve"> and the BACT emission standards as applicable to each unit.</w:t>
      </w:r>
    </w:p>
    <w:p w:rsidR="009D0A83" w:rsidRPr="001B4BA3" w:rsidRDefault="00C03B80" w:rsidP="00D623D7">
      <w:pPr>
        <w:widowControl w:val="0"/>
        <w:numPr>
          <w:ilvl w:val="1"/>
          <w:numId w:val="8"/>
        </w:numPr>
        <w:tabs>
          <w:tab w:val="left" w:pos="450"/>
        </w:tabs>
        <w:spacing w:before="120" w:after="120"/>
        <w:ind w:left="446"/>
        <w:rPr>
          <w:b/>
          <w:sz w:val="22"/>
          <w:szCs w:val="22"/>
        </w:rPr>
      </w:pPr>
      <w:r>
        <w:rPr>
          <w:b/>
          <w:sz w:val="22"/>
          <w:szCs w:val="22"/>
        </w:rPr>
        <w:t>Additional Rule Review</w:t>
      </w:r>
    </w:p>
    <w:p w:rsidR="00004491" w:rsidRDefault="005B5A21" w:rsidP="00004491">
      <w:pPr>
        <w:pStyle w:val="LFTBody"/>
        <w:spacing w:after="60" w:line="240" w:lineRule="auto"/>
        <w:rPr>
          <w:rFonts w:ascii="Times New Roman" w:hAnsi="Times New Roman" w:cs="Times New Roman"/>
          <w:sz w:val="22"/>
        </w:rPr>
      </w:pPr>
      <w:r>
        <w:rPr>
          <w:rFonts w:ascii="Times New Roman" w:hAnsi="Times New Roman" w:cs="Times New Roman"/>
          <w:sz w:val="22"/>
        </w:rPr>
        <w:t>The a</w:t>
      </w:r>
      <w:r w:rsidR="00746948">
        <w:rPr>
          <w:rFonts w:ascii="Times New Roman" w:hAnsi="Times New Roman" w:cs="Times New Roman"/>
          <w:sz w:val="22"/>
        </w:rPr>
        <w:t>pplicant plans to mix in up to 5</w:t>
      </w:r>
      <w:r>
        <w:rPr>
          <w:rFonts w:ascii="Times New Roman" w:hAnsi="Times New Roman" w:cs="Times New Roman"/>
          <w:sz w:val="22"/>
        </w:rPr>
        <w:t xml:space="preserve">% biosolids, by weight, within the solid waste burned in the Hillsborough County RRF.  </w:t>
      </w:r>
      <w:r w:rsidR="00004491">
        <w:rPr>
          <w:rFonts w:ascii="Times New Roman" w:hAnsi="Times New Roman" w:cs="Times New Roman"/>
          <w:sz w:val="22"/>
        </w:rPr>
        <w:t>Biosolids are regulated by the Department Rule 62-640, F.A.C.</w:t>
      </w:r>
      <w:r w:rsidR="00E01C1A">
        <w:rPr>
          <w:rFonts w:ascii="Times New Roman" w:hAnsi="Times New Roman" w:cs="Times New Roman"/>
          <w:sz w:val="22"/>
        </w:rPr>
        <w:t xml:space="preserve"> </w:t>
      </w:r>
      <w:r w:rsidR="00004491">
        <w:rPr>
          <w:rFonts w:ascii="Times New Roman" w:hAnsi="Times New Roman" w:cs="Times New Roman"/>
          <w:sz w:val="22"/>
        </w:rPr>
        <w:t xml:space="preserve"> </w:t>
      </w:r>
      <w:hyperlink r:id="rId35" w:history="1">
        <w:r w:rsidR="00E01C1A">
          <w:rPr>
            <w:rStyle w:val="Hyperlink"/>
            <w:sz w:val="22"/>
          </w:rPr>
          <w:t>Link to Biosolids Rule</w:t>
        </w:r>
      </w:hyperlink>
      <w:r w:rsidR="00004491">
        <w:rPr>
          <w:rFonts w:ascii="Times New Roman" w:hAnsi="Times New Roman" w:cs="Times New Roman"/>
          <w:sz w:val="22"/>
        </w:rPr>
        <w:t xml:space="preserve"> </w:t>
      </w:r>
      <w:r w:rsidR="00E01C1A">
        <w:rPr>
          <w:rFonts w:ascii="Times New Roman" w:hAnsi="Times New Roman" w:cs="Times New Roman"/>
          <w:sz w:val="22"/>
        </w:rPr>
        <w:t xml:space="preserve"> </w:t>
      </w:r>
      <w:r w:rsidR="00004491">
        <w:rPr>
          <w:rFonts w:ascii="Times New Roman" w:hAnsi="Times New Roman" w:cs="Times New Roman"/>
          <w:sz w:val="22"/>
        </w:rPr>
        <w:t>According to Paragraph 62-640</w:t>
      </w:r>
      <w:r w:rsidR="00004491" w:rsidRPr="00004491">
        <w:rPr>
          <w:rFonts w:ascii="Times New Roman" w:eastAsia="Calibri" w:hAnsi="Times New Roman" w:cs="Times New Roman"/>
          <w:sz w:val="22"/>
        </w:rPr>
        <w:t>.100</w:t>
      </w:r>
      <w:r w:rsidR="00004491">
        <w:rPr>
          <w:rFonts w:ascii="Times New Roman" w:hAnsi="Times New Roman" w:cs="Times New Roman"/>
          <w:sz w:val="22"/>
        </w:rPr>
        <w:t>, F.A.C. -</w:t>
      </w:r>
      <w:r w:rsidR="00004491" w:rsidRPr="00004491">
        <w:rPr>
          <w:rFonts w:ascii="Times New Roman" w:eastAsia="Calibri" w:hAnsi="Times New Roman" w:cs="Times New Roman"/>
          <w:sz w:val="22"/>
        </w:rPr>
        <w:t xml:space="preserve"> Scope, Intent, Purpose, and Applicability</w:t>
      </w:r>
      <w:r w:rsidR="00004491">
        <w:rPr>
          <w:rFonts w:ascii="Times New Roman" w:hAnsi="Times New Roman" w:cs="Times New Roman"/>
          <w:sz w:val="22"/>
        </w:rPr>
        <w:t>:</w:t>
      </w:r>
    </w:p>
    <w:p w:rsidR="00004491" w:rsidRPr="00004491" w:rsidRDefault="00004491" w:rsidP="005C0C18">
      <w:pPr>
        <w:pStyle w:val="LFTBody"/>
        <w:tabs>
          <w:tab w:val="left" w:pos="990"/>
        </w:tabs>
        <w:spacing w:after="60" w:line="240" w:lineRule="auto"/>
        <w:ind w:left="990" w:right="360" w:hanging="630"/>
        <w:jc w:val="both"/>
        <w:rPr>
          <w:rFonts w:ascii="Times New Roman" w:eastAsia="Calibri" w:hAnsi="Times New Roman" w:cs="Times New Roman"/>
          <w:i/>
          <w:sz w:val="22"/>
        </w:rPr>
      </w:pPr>
      <w:r w:rsidRPr="00004491">
        <w:rPr>
          <w:rFonts w:ascii="Times New Roman" w:hAnsi="Times New Roman" w:cs="Times New Roman"/>
          <w:i/>
          <w:sz w:val="22"/>
        </w:rPr>
        <w:t>(1)(a)</w:t>
      </w:r>
      <w:r w:rsidRPr="00004491">
        <w:rPr>
          <w:rFonts w:ascii="Times New Roman" w:hAnsi="Times New Roman" w:cs="Times New Roman"/>
          <w:i/>
          <w:sz w:val="22"/>
        </w:rPr>
        <w:tab/>
      </w:r>
      <w:r w:rsidRPr="00004491">
        <w:rPr>
          <w:rFonts w:ascii="Times New Roman" w:eastAsia="Calibri" w:hAnsi="Times New Roman" w:cs="Times New Roman"/>
          <w:i/>
          <w:sz w:val="22"/>
        </w:rPr>
        <w:t>It is the intent of the Department in this chapter to regulate the management, use, and land application of biosolids so as to ensure protection of the environment and public health.</w:t>
      </w:r>
    </w:p>
    <w:p w:rsidR="00004491" w:rsidRPr="00004491" w:rsidRDefault="00004491" w:rsidP="005C0C18">
      <w:pPr>
        <w:pStyle w:val="LFTBody"/>
        <w:tabs>
          <w:tab w:val="left" w:pos="990"/>
        </w:tabs>
        <w:spacing w:after="60" w:line="240" w:lineRule="auto"/>
        <w:ind w:left="990" w:right="360" w:hanging="360"/>
        <w:jc w:val="both"/>
        <w:rPr>
          <w:rFonts w:ascii="Times New Roman" w:eastAsia="Calibri" w:hAnsi="Times New Roman" w:cs="Times New Roman"/>
          <w:i/>
          <w:sz w:val="22"/>
        </w:rPr>
      </w:pPr>
      <w:r w:rsidRPr="00004491">
        <w:rPr>
          <w:rFonts w:ascii="Times New Roman" w:hAnsi="Times New Roman" w:cs="Times New Roman"/>
          <w:i/>
          <w:sz w:val="22"/>
        </w:rPr>
        <w:t>(b)</w:t>
      </w:r>
      <w:r w:rsidRPr="00004491">
        <w:rPr>
          <w:rFonts w:ascii="Times New Roman" w:hAnsi="Times New Roman" w:cs="Times New Roman"/>
          <w:i/>
          <w:sz w:val="22"/>
        </w:rPr>
        <w:tab/>
      </w:r>
      <w:r w:rsidRPr="00004491">
        <w:rPr>
          <w:rFonts w:ascii="Times New Roman" w:eastAsia="Calibri" w:hAnsi="Times New Roman" w:cs="Times New Roman"/>
          <w:i/>
          <w:sz w:val="22"/>
        </w:rPr>
        <w:t>The Department encourages the highest levels of treatment, quality, and use for biosolids.</w:t>
      </w:r>
    </w:p>
    <w:p w:rsidR="00004491" w:rsidRPr="00004491" w:rsidRDefault="00004491" w:rsidP="005C0C18">
      <w:pPr>
        <w:pStyle w:val="LFTBody"/>
        <w:tabs>
          <w:tab w:val="left" w:pos="990"/>
        </w:tabs>
        <w:spacing w:after="120" w:line="240" w:lineRule="auto"/>
        <w:ind w:left="990" w:right="360" w:hanging="360"/>
        <w:jc w:val="both"/>
        <w:rPr>
          <w:rFonts w:ascii="Times New Roman" w:eastAsia="Calibri" w:hAnsi="Times New Roman" w:cs="Times New Roman"/>
          <w:i/>
          <w:sz w:val="22"/>
        </w:rPr>
      </w:pPr>
      <w:r w:rsidRPr="00004491">
        <w:rPr>
          <w:rFonts w:ascii="Times New Roman" w:hAnsi="Times New Roman" w:cs="Times New Roman"/>
          <w:i/>
          <w:sz w:val="22"/>
        </w:rPr>
        <w:t>(c)</w:t>
      </w:r>
      <w:r w:rsidRPr="00004491">
        <w:rPr>
          <w:rFonts w:ascii="Times New Roman" w:hAnsi="Times New Roman" w:cs="Times New Roman"/>
          <w:i/>
          <w:sz w:val="22"/>
        </w:rPr>
        <w:tab/>
      </w:r>
      <w:r w:rsidRPr="00004491">
        <w:rPr>
          <w:rFonts w:ascii="Times New Roman" w:eastAsia="Calibri" w:hAnsi="Times New Roman" w:cs="Times New Roman"/>
          <w:i/>
          <w:sz w:val="22"/>
        </w:rPr>
        <w:t xml:space="preserve">The Department further encourages the beneficial use of biosolids in a manner which will foster public acceptance, as well as innovative and </w:t>
      </w:r>
      <w:r w:rsidRPr="005C0C18">
        <w:rPr>
          <w:rFonts w:ascii="Times New Roman" w:eastAsia="Calibri" w:hAnsi="Times New Roman" w:cs="Times New Roman"/>
          <w:b/>
          <w:i/>
          <w:sz w:val="22"/>
        </w:rPr>
        <w:t>alternative uses for biosolids such as bioenergy-related uses</w:t>
      </w:r>
      <w:r w:rsidRPr="00004491">
        <w:rPr>
          <w:rFonts w:ascii="Times New Roman" w:eastAsia="Calibri" w:hAnsi="Times New Roman" w:cs="Times New Roman"/>
          <w:i/>
          <w:sz w:val="22"/>
        </w:rPr>
        <w:t>.</w:t>
      </w:r>
    </w:p>
    <w:p w:rsidR="008B2444" w:rsidRDefault="005B5A21" w:rsidP="005044E8">
      <w:pPr>
        <w:pStyle w:val="LFTBody"/>
        <w:spacing w:after="120" w:line="240" w:lineRule="auto"/>
        <w:rPr>
          <w:rFonts w:ascii="Times New Roman" w:hAnsi="Times New Roman" w:cs="Times New Roman"/>
          <w:sz w:val="22"/>
        </w:rPr>
      </w:pPr>
      <w:r>
        <w:rPr>
          <w:rFonts w:ascii="Times New Roman" w:hAnsi="Times New Roman" w:cs="Times New Roman"/>
          <w:sz w:val="22"/>
        </w:rPr>
        <w:t xml:space="preserve">The Department’s definition of biosolids is contained in </w:t>
      </w:r>
      <w:r w:rsidR="005C0C18">
        <w:rPr>
          <w:rFonts w:ascii="Times New Roman" w:hAnsi="Times New Roman" w:cs="Times New Roman"/>
          <w:sz w:val="22"/>
        </w:rPr>
        <w:t>Paragraph</w:t>
      </w:r>
      <w:r>
        <w:rPr>
          <w:rFonts w:ascii="Times New Roman" w:hAnsi="Times New Roman" w:cs="Times New Roman"/>
          <w:sz w:val="22"/>
        </w:rPr>
        <w:t xml:space="preserve"> 62-640.200(Definitions), F.A.C. </w:t>
      </w:r>
      <w:r w:rsidR="008B2444">
        <w:rPr>
          <w:rFonts w:ascii="Times New Roman" w:hAnsi="Times New Roman" w:cs="Times New Roman"/>
          <w:sz w:val="22"/>
        </w:rPr>
        <w:t>as follows:</w:t>
      </w:r>
    </w:p>
    <w:p w:rsidR="00373374" w:rsidRDefault="008B2444" w:rsidP="008B2444">
      <w:pPr>
        <w:pStyle w:val="LFTBody"/>
        <w:spacing w:after="120" w:line="240" w:lineRule="auto"/>
        <w:ind w:left="360" w:right="360"/>
        <w:jc w:val="both"/>
        <w:rPr>
          <w:rFonts w:ascii="Times New Roman" w:hAnsi="Times New Roman" w:cs="Times New Roman"/>
          <w:i/>
          <w:sz w:val="22"/>
        </w:rPr>
      </w:pPr>
      <w:r w:rsidRPr="008B2444">
        <w:rPr>
          <w:rFonts w:ascii="Times New Roman" w:eastAsia="Calibri" w:hAnsi="Times New Roman" w:cs="Times New Roman"/>
          <w:i/>
          <w:sz w:val="22"/>
        </w:rPr>
        <w:t xml:space="preserve">“Biosolids means the solid, semisolid, or liquid residue generated during the treatment of domestic wastewater in a domestic wastewater treatment facility, formerly known as “domestic wastewater residuals” or “residuals.” </w:t>
      </w:r>
      <w:r w:rsidR="00E01C1A">
        <w:rPr>
          <w:rFonts w:ascii="Times New Roman" w:eastAsia="Calibri" w:hAnsi="Times New Roman" w:cs="Times New Roman"/>
          <w:i/>
          <w:sz w:val="22"/>
        </w:rPr>
        <w:t xml:space="preserve"> </w:t>
      </w:r>
      <w:r w:rsidRPr="008B2444">
        <w:rPr>
          <w:rFonts w:ascii="Times New Roman" w:eastAsia="Calibri" w:hAnsi="Times New Roman" w:cs="Times New Roman"/>
          <w:i/>
          <w:sz w:val="22"/>
        </w:rPr>
        <w:t>Not included is the treated effluent or reclaimed water from a domestic wastewater treatment plant. Also not included are solids removed from pump stations and lift stations, screenings and grit removed from the preliminary treatment components of domestic wastewater treatment facilities, other solids as defined in subsection 62-640.200(31), F.A.C., and ash generated during the</w:t>
      </w:r>
      <w:r w:rsidRPr="008B2444">
        <w:rPr>
          <w:rFonts w:ascii="Times New Roman" w:hAnsi="Times New Roman" w:cs="Times New Roman"/>
          <w:i/>
          <w:sz w:val="22"/>
        </w:rPr>
        <w:t xml:space="preserve"> </w:t>
      </w:r>
      <w:r w:rsidRPr="008B2444">
        <w:rPr>
          <w:rFonts w:ascii="Times New Roman" w:eastAsia="Calibri" w:hAnsi="Times New Roman" w:cs="Times New Roman"/>
          <w:i/>
          <w:sz w:val="22"/>
        </w:rPr>
        <w:t xml:space="preserve">incineration of biosolids. </w:t>
      </w:r>
      <w:r w:rsidR="007D6C66">
        <w:rPr>
          <w:rFonts w:ascii="Times New Roman" w:hAnsi="Times New Roman" w:cs="Times New Roman"/>
          <w:i/>
          <w:sz w:val="22"/>
        </w:rPr>
        <w:t xml:space="preserve"> </w:t>
      </w:r>
      <w:r w:rsidRPr="008B2444">
        <w:rPr>
          <w:rFonts w:ascii="Times New Roman" w:eastAsia="Calibri" w:hAnsi="Times New Roman" w:cs="Times New Roman"/>
          <w:i/>
          <w:sz w:val="22"/>
        </w:rPr>
        <w:t>Biosolids include products and treated material from biosolids treatment facilities and septage management facilities regulated by the Department.</w:t>
      </w:r>
      <w:r w:rsidRPr="008B2444">
        <w:rPr>
          <w:rFonts w:ascii="Times New Roman" w:hAnsi="Times New Roman" w:cs="Times New Roman"/>
          <w:i/>
          <w:sz w:val="22"/>
        </w:rPr>
        <w:t>”</w:t>
      </w:r>
    </w:p>
    <w:p w:rsidR="00373374" w:rsidRDefault="00373374">
      <w:pPr>
        <w:rPr>
          <w:rFonts w:eastAsiaTheme="minorHAnsi"/>
          <w:i/>
          <w:sz w:val="22"/>
          <w:szCs w:val="22"/>
          <w:lang w:bidi="en-US"/>
        </w:rPr>
      </w:pPr>
      <w:r>
        <w:rPr>
          <w:i/>
          <w:sz w:val="22"/>
        </w:rPr>
        <w:br w:type="page"/>
      </w:r>
    </w:p>
    <w:p w:rsidR="007D6C66" w:rsidRPr="00373374" w:rsidRDefault="007D6C66" w:rsidP="007D6C66">
      <w:pPr>
        <w:spacing w:after="120"/>
        <w:rPr>
          <w:sz w:val="22"/>
          <w:szCs w:val="22"/>
        </w:rPr>
      </w:pPr>
      <w:r w:rsidRPr="00373374">
        <w:rPr>
          <w:sz w:val="22"/>
          <w:szCs w:val="22"/>
        </w:rPr>
        <w:lastRenderedPageBreak/>
        <w:t>The definition of MSW in the Department’s MWC Rule (pursuant to 40 CFR 60, Subpart Cb) and 40 CFR 60, Subpart Eb excludes “sewage sludge”.</w:t>
      </w:r>
      <w:r w:rsidR="00C74B3F" w:rsidRPr="00373374">
        <w:rPr>
          <w:sz w:val="22"/>
          <w:szCs w:val="22"/>
        </w:rPr>
        <w:t xml:space="preserve">  The definition of MSW from 40 CFR 60, Subpart Eb is partially given as follows:</w:t>
      </w:r>
    </w:p>
    <w:p w:rsidR="00C74B3F" w:rsidRPr="00373374" w:rsidRDefault="00C74B3F" w:rsidP="00C74B3F">
      <w:pPr>
        <w:pStyle w:val="LFTBody"/>
        <w:spacing w:after="120" w:line="240" w:lineRule="auto"/>
        <w:ind w:left="360" w:right="360"/>
        <w:jc w:val="both"/>
        <w:rPr>
          <w:rFonts w:ascii="Times New Roman" w:hAnsi="Times New Roman" w:cs="Times New Roman"/>
          <w:color w:val="000000"/>
          <w:sz w:val="22"/>
        </w:rPr>
      </w:pPr>
      <w:r w:rsidRPr="00373374">
        <w:rPr>
          <w:rFonts w:ascii="Times New Roman" w:hAnsi="Times New Roman" w:cs="Times New Roman"/>
          <w:i/>
          <w:sz w:val="22"/>
        </w:rPr>
        <w:t xml:space="preserve">“MSW means household, commercial/retail, and/or institutional waste…Household, commercial/retail, and institutional waste </w:t>
      </w:r>
      <w:r w:rsidRPr="00373374">
        <w:rPr>
          <w:rFonts w:ascii="Times New Roman" w:hAnsi="Times New Roman" w:cs="Times New Roman"/>
          <w:b/>
          <w:i/>
          <w:sz w:val="22"/>
        </w:rPr>
        <w:t>does not include</w:t>
      </w:r>
      <w:r w:rsidRPr="00373374">
        <w:rPr>
          <w:rFonts w:ascii="Times New Roman" w:hAnsi="Times New Roman" w:cs="Times New Roman"/>
          <w:i/>
          <w:sz w:val="22"/>
        </w:rPr>
        <w:t xml:space="preserve"> used oil; </w:t>
      </w:r>
      <w:r w:rsidRPr="00373374">
        <w:rPr>
          <w:rFonts w:ascii="Times New Roman" w:hAnsi="Times New Roman" w:cs="Times New Roman"/>
          <w:b/>
          <w:i/>
          <w:sz w:val="22"/>
        </w:rPr>
        <w:t>sewage sludge</w:t>
      </w:r>
      <w:r w:rsidRPr="00373374">
        <w:rPr>
          <w:rFonts w:ascii="Times New Roman" w:hAnsi="Times New Roman" w:cs="Times New Roman"/>
          <w:i/>
          <w:sz w:val="22"/>
        </w:rPr>
        <w:t>; wood pallets; construction, renovation, and demolition wastes (which includes but is not limited to railroad ties and telephone poles); clean wood; industrial process or manufacturing wastes; medical waste; or motor vehicles (including motor vehicle parts or vehicle fluff)………..”</w:t>
      </w:r>
    </w:p>
    <w:p w:rsidR="005B5A21" w:rsidRPr="00373374" w:rsidRDefault="00C74B3F" w:rsidP="00C74B3F">
      <w:pPr>
        <w:spacing w:after="120"/>
        <w:rPr>
          <w:sz w:val="22"/>
          <w:szCs w:val="22"/>
        </w:rPr>
      </w:pPr>
      <w:r w:rsidRPr="00373374">
        <w:rPr>
          <w:sz w:val="22"/>
          <w:szCs w:val="22"/>
        </w:rPr>
        <w:t>A</w:t>
      </w:r>
      <w:r w:rsidR="007D6C66" w:rsidRPr="00373374">
        <w:rPr>
          <w:sz w:val="22"/>
          <w:szCs w:val="22"/>
        </w:rPr>
        <w:t xml:space="preserve">lthough biosolids (treated sewage sludge) </w:t>
      </w:r>
      <w:r w:rsidRPr="00373374">
        <w:rPr>
          <w:sz w:val="22"/>
          <w:szCs w:val="22"/>
        </w:rPr>
        <w:t xml:space="preserve">are </w:t>
      </w:r>
      <w:r w:rsidR="007D6C66" w:rsidRPr="00373374">
        <w:rPr>
          <w:sz w:val="22"/>
          <w:szCs w:val="22"/>
        </w:rPr>
        <w:t xml:space="preserve">not </w:t>
      </w:r>
      <w:r w:rsidRPr="00373374">
        <w:rPr>
          <w:sz w:val="22"/>
          <w:szCs w:val="22"/>
        </w:rPr>
        <w:t xml:space="preserve">defined as </w:t>
      </w:r>
      <w:r w:rsidR="007D6C66" w:rsidRPr="00373374">
        <w:rPr>
          <w:sz w:val="22"/>
          <w:szCs w:val="22"/>
        </w:rPr>
        <w:t xml:space="preserve">MSW, the </w:t>
      </w:r>
      <w:r w:rsidRPr="00373374">
        <w:rPr>
          <w:sz w:val="22"/>
          <w:szCs w:val="22"/>
        </w:rPr>
        <w:t xml:space="preserve">Department’s MWC Rule and </w:t>
      </w:r>
      <w:r w:rsidR="007D6C66" w:rsidRPr="00373374">
        <w:rPr>
          <w:sz w:val="22"/>
          <w:szCs w:val="22"/>
        </w:rPr>
        <w:t xml:space="preserve">40 CFR 60, Subparts Eb </w:t>
      </w:r>
      <w:proofErr w:type="gramStart"/>
      <w:r w:rsidR="007D6C66" w:rsidRPr="00373374">
        <w:rPr>
          <w:sz w:val="22"/>
          <w:szCs w:val="22"/>
        </w:rPr>
        <w:t>do</w:t>
      </w:r>
      <w:proofErr w:type="gramEnd"/>
      <w:r w:rsidR="007D6C66" w:rsidRPr="00373374">
        <w:rPr>
          <w:sz w:val="22"/>
          <w:szCs w:val="22"/>
        </w:rPr>
        <w:t xml:space="preserve"> not prohibit </w:t>
      </w:r>
      <w:r w:rsidRPr="00373374">
        <w:rPr>
          <w:sz w:val="22"/>
          <w:szCs w:val="22"/>
        </w:rPr>
        <w:t xml:space="preserve">its disposal or use as a fuel </w:t>
      </w:r>
      <w:r w:rsidR="007D6C66" w:rsidRPr="00373374">
        <w:rPr>
          <w:sz w:val="22"/>
          <w:szCs w:val="22"/>
        </w:rPr>
        <w:t>in a</w:t>
      </w:r>
      <w:r w:rsidRPr="00373374">
        <w:rPr>
          <w:sz w:val="22"/>
          <w:szCs w:val="22"/>
        </w:rPr>
        <w:t xml:space="preserve"> </w:t>
      </w:r>
      <w:r w:rsidR="007D6C66" w:rsidRPr="00373374">
        <w:rPr>
          <w:sz w:val="22"/>
          <w:szCs w:val="22"/>
        </w:rPr>
        <w:t>MWC.</w:t>
      </w:r>
    </w:p>
    <w:p w:rsidR="00EE3035" w:rsidRPr="00373374" w:rsidRDefault="00EE3035" w:rsidP="00EE3035">
      <w:pPr>
        <w:spacing w:after="120"/>
        <w:rPr>
          <w:b/>
          <w:i/>
          <w:sz w:val="22"/>
          <w:szCs w:val="22"/>
        </w:rPr>
      </w:pPr>
      <w:r w:rsidRPr="00373374">
        <w:rPr>
          <w:b/>
          <w:i/>
          <w:sz w:val="22"/>
          <w:szCs w:val="22"/>
        </w:rPr>
        <w:t>40 CFR Part 241-Solid Wastes used as Fuels or Ingredients in Combustion Units</w:t>
      </w:r>
    </w:p>
    <w:p w:rsidR="00EE3035" w:rsidRPr="00373374" w:rsidRDefault="00EE3035" w:rsidP="00EE3035">
      <w:pPr>
        <w:spacing w:after="120"/>
        <w:ind w:right="-180"/>
        <w:rPr>
          <w:sz w:val="22"/>
          <w:szCs w:val="22"/>
        </w:rPr>
      </w:pPr>
      <w:r w:rsidRPr="00373374">
        <w:rPr>
          <w:sz w:val="22"/>
          <w:szCs w:val="22"/>
        </w:rPr>
        <w:t xml:space="preserve">Refer to 40 CFR </w:t>
      </w:r>
      <w:proofErr w:type="gramStart"/>
      <w:r w:rsidRPr="00373374">
        <w:rPr>
          <w:sz w:val="22"/>
          <w:szCs w:val="22"/>
        </w:rPr>
        <w:t>Part</w:t>
      </w:r>
      <w:proofErr w:type="gramEnd"/>
      <w:r w:rsidRPr="00373374">
        <w:rPr>
          <w:sz w:val="22"/>
          <w:szCs w:val="22"/>
        </w:rPr>
        <w:t xml:space="preserve"> 241, Subpart B - Identification of Non-Hazardous Secondary Materials That Are Solid Wastes When Used as Fuels or Ingredients in Combustion Units.  </w:t>
      </w:r>
      <w:hyperlink r:id="rId36" w:anchor="40:26.0.1.4.31.2" w:history="1">
        <w:r w:rsidRPr="00373374">
          <w:rPr>
            <w:rStyle w:val="Hyperlink"/>
            <w:sz w:val="22"/>
            <w:szCs w:val="22"/>
          </w:rPr>
          <w:t>Link to 40 CFR 241, Subpart B</w:t>
        </w:r>
      </w:hyperlink>
      <w:r w:rsidRPr="00373374">
        <w:rPr>
          <w:sz w:val="22"/>
          <w:szCs w:val="22"/>
        </w:rPr>
        <w:t xml:space="preserve">  One “legitimacy criterion” contained in the mentioned rule is at §241.3(d</w:t>
      </w:r>
      <w:proofErr w:type="gramStart"/>
      <w:r w:rsidRPr="00373374">
        <w:rPr>
          <w:sz w:val="22"/>
          <w:szCs w:val="22"/>
        </w:rPr>
        <w:t>)(</w:t>
      </w:r>
      <w:proofErr w:type="gramEnd"/>
      <w:r w:rsidRPr="00373374">
        <w:rPr>
          <w:sz w:val="22"/>
          <w:szCs w:val="22"/>
        </w:rPr>
        <w:t>1):</w:t>
      </w:r>
    </w:p>
    <w:p w:rsidR="00EE3035" w:rsidRPr="00373374" w:rsidRDefault="00EE3035" w:rsidP="00EE3035">
      <w:pPr>
        <w:pStyle w:val="NormalWeb"/>
        <w:numPr>
          <w:ilvl w:val="0"/>
          <w:numId w:val="34"/>
        </w:numPr>
        <w:shd w:val="clear" w:color="auto" w:fill="FFFFFF"/>
        <w:spacing w:before="0" w:beforeAutospacing="0" w:after="120" w:afterAutospacing="0"/>
        <w:ind w:left="720" w:right="360"/>
        <w:jc w:val="both"/>
        <w:rPr>
          <w:i/>
          <w:color w:val="000000"/>
          <w:sz w:val="22"/>
          <w:szCs w:val="22"/>
        </w:rPr>
      </w:pPr>
      <w:r w:rsidRPr="00373374">
        <w:rPr>
          <w:i/>
          <w:sz w:val="22"/>
          <w:szCs w:val="22"/>
        </w:rPr>
        <w:t>The non-hazardous secondary material must have a meaningful heating value and be used as a fuel in a combustion unit that recovers energy.</w:t>
      </w:r>
    </w:p>
    <w:p w:rsidR="00EE3035" w:rsidRPr="00373374" w:rsidRDefault="005C58AC" w:rsidP="00EE3035">
      <w:pPr>
        <w:spacing w:after="120"/>
        <w:ind w:right="-180"/>
        <w:rPr>
          <w:sz w:val="22"/>
          <w:szCs w:val="22"/>
        </w:rPr>
      </w:pPr>
      <w:r w:rsidRPr="00373374">
        <w:rPr>
          <w:sz w:val="22"/>
          <w:szCs w:val="22"/>
        </w:rPr>
        <w:t xml:space="preserve">Dewatered and subsequently dried sewage sludge can have significant heating value; on the order of 5,000 to 9,000 Btu/lb.  According to the application, dewatered sewage sludge with 12% solids, as received (as </w:t>
      </w:r>
      <w:r w:rsidR="00EE3035" w:rsidRPr="00373374">
        <w:rPr>
          <w:sz w:val="22"/>
          <w:szCs w:val="22"/>
        </w:rPr>
        <w:t>proposed to be combusted at the four MWC</w:t>
      </w:r>
      <w:r w:rsidRPr="00373374">
        <w:rPr>
          <w:sz w:val="22"/>
          <w:szCs w:val="22"/>
        </w:rPr>
        <w:t>’s),</w:t>
      </w:r>
      <w:r w:rsidR="00E747E3" w:rsidRPr="00373374">
        <w:rPr>
          <w:sz w:val="22"/>
          <w:szCs w:val="22"/>
        </w:rPr>
        <w:t xml:space="preserve"> has </w:t>
      </w:r>
      <w:r w:rsidR="00EE3035" w:rsidRPr="00373374">
        <w:rPr>
          <w:sz w:val="22"/>
          <w:szCs w:val="22"/>
        </w:rPr>
        <w:t xml:space="preserve">heating value less than 1,000 Btu/lb.  Even the regular MSW (solid waste) already burned at the same units has a heating value between 4,700 and 5,600 Btu/lb.  The </w:t>
      </w:r>
      <w:r w:rsidRPr="00373374">
        <w:rPr>
          <w:sz w:val="22"/>
          <w:szCs w:val="22"/>
        </w:rPr>
        <w:t xml:space="preserve">dewatered </w:t>
      </w:r>
      <w:r w:rsidR="00EE3035" w:rsidRPr="00373374">
        <w:rPr>
          <w:sz w:val="22"/>
          <w:szCs w:val="22"/>
        </w:rPr>
        <w:t>biosolids appear to constitute solid waste (not fuel) in accordance with the legitimacy criterion given above.</w:t>
      </w:r>
    </w:p>
    <w:p w:rsidR="00EE3035" w:rsidRPr="00373374" w:rsidRDefault="00EE3035" w:rsidP="00EE3035">
      <w:pPr>
        <w:spacing w:after="120"/>
        <w:ind w:right="-180"/>
        <w:rPr>
          <w:sz w:val="22"/>
          <w:szCs w:val="22"/>
        </w:rPr>
      </w:pPr>
      <w:r w:rsidRPr="00373374">
        <w:rPr>
          <w:sz w:val="22"/>
          <w:szCs w:val="22"/>
        </w:rPr>
        <w:t xml:space="preserve">The preamble to the same rule all but slams the door on the possibility that sewage sludge (without substantial further upgrade) can be considered a fuel.  </w:t>
      </w:r>
      <w:hyperlink r:id="rId37" w:history="1">
        <w:r w:rsidRPr="00373374">
          <w:rPr>
            <w:rStyle w:val="Hyperlink"/>
            <w:sz w:val="22"/>
            <w:szCs w:val="22"/>
          </w:rPr>
          <w:t>Link to 40 CFR Part 241, Notice</w:t>
        </w:r>
      </w:hyperlink>
      <w:r w:rsidRPr="00373374">
        <w:rPr>
          <w:sz w:val="22"/>
          <w:szCs w:val="22"/>
        </w:rPr>
        <w:t xml:space="preserve">  A small possibility exists based on the comments in the preamble that states: </w:t>
      </w:r>
    </w:p>
    <w:p w:rsidR="00EE3035" w:rsidRPr="00373374" w:rsidRDefault="00EE3035" w:rsidP="00EE3035">
      <w:pPr>
        <w:spacing w:after="120"/>
        <w:ind w:left="360" w:right="360"/>
        <w:jc w:val="both"/>
        <w:rPr>
          <w:i/>
          <w:sz w:val="22"/>
          <w:szCs w:val="22"/>
        </w:rPr>
      </w:pPr>
      <w:r w:rsidRPr="00373374">
        <w:rPr>
          <w:i/>
          <w:sz w:val="22"/>
          <w:szCs w:val="22"/>
        </w:rPr>
        <w:t>Unlike boilers, which are specifically designed to recover the maximum amount of heat from a material’s combustion, waste heat recovery units are designed to cool the exhaust gas stream, and/or to recover, indirectly, the useful heat remaining in the exhaust gas from a combustion unit that has some other primary purpose (such as an institutional waste incinerator).  Thus, we continue to consider that sewage sludge is primarily burned for destruction and the presence of a waste heat recovery unit would not, by itself, satisfy the meaningful heating value legitimacy criterion.</w:t>
      </w:r>
    </w:p>
    <w:p w:rsidR="00EE3035" w:rsidRPr="00373374" w:rsidRDefault="00EE3035" w:rsidP="00EE3035">
      <w:pPr>
        <w:spacing w:after="120"/>
        <w:ind w:right="-180"/>
        <w:rPr>
          <w:sz w:val="22"/>
          <w:szCs w:val="22"/>
        </w:rPr>
      </w:pPr>
      <w:r w:rsidRPr="00373374">
        <w:rPr>
          <w:sz w:val="22"/>
          <w:szCs w:val="22"/>
        </w:rPr>
        <w:t>Although the MWC’s burning medium Btu MSW are actually boilers, on balance the co-fired low Btu biosolids are appropriately classified as solid waste.</w:t>
      </w:r>
    </w:p>
    <w:p w:rsidR="00AA3A97" w:rsidRPr="00373374" w:rsidRDefault="00AA3A97" w:rsidP="00E01C1A">
      <w:pPr>
        <w:spacing w:after="120"/>
        <w:rPr>
          <w:b/>
          <w:i/>
          <w:sz w:val="22"/>
          <w:szCs w:val="22"/>
        </w:rPr>
      </w:pPr>
      <w:r w:rsidRPr="00373374">
        <w:rPr>
          <w:b/>
          <w:i/>
          <w:sz w:val="22"/>
          <w:szCs w:val="22"/>
        </w:rPr>
        <w:t xml:space="preserve">40 CFR 60, Subpart LLLL-Standards of Performance for New Sewage Sludge Incineration </w:t>
      </w:r>
      <w:r w:rsidR="00563300" w:rsidRPr="00373374">
        <w:rPr>
          <w:b/>
          <w:i/>
          <w:sz w:val="22"/>
          <w:szCs w:val="22"/>
        </w:rPr>
        <w:t xml:space="preserve">(SSI) </w:t>
      </w:r>
      <w:r w:rsidRPr="00373374">
        <w:rPr>
          <w:b/>
          <w:i/>
          <w:sz w:val="22"/>
          <w:szCs w:val="22"/>
        </w:rPr>
        <w:t>Units</w:t>
      </w:r>
      <w:r w:rsidR="00563300" w:rsidRPr="00373374">
        <w:rPr>
          <w:b/>
          <w:i/>
          <w:sz w:val="22"/>
          <w:szCs w:val="22"/>
        </w:rPr>
        <w:t xml:space="preserve"> and </w:t>
      </w:r>
    </w:p>
    <w:p w:rsidR="00563300" w:rsidRPr="00373374" w:rsidRDefault="00563300" w:rsidP="00563300">
      <w:pPr>
        <w:spacing w:after="120"/>
        <w:rPr>
          <w:b/>
          <w:i/>
          <w:sz w:val="22"/>
          <w:szCs w:val="22"/>
        </w:rPr>
      </w:pPr>
      <w:r w:rsidRPr="00373374">
        <w:rPr>
          <w:b/>
          <w:i/>
          <w:sz w:val="22"/>
          <w:szCs w:val="22"/>
        </w:rPr>
        <w:t>40 CFR 60, Subpart MMMM-Emission Guidelines and Compliance Times for Existing SSI Units</w:t>
      </w:r>
    </w:p>
    <w:p w:rsidR="006A4FEA" w:rsidRPr="00373374" w:rsidRDefault="00AA3A97" w:rsidP="006A4FEA">
      <w:pPr>
        <w:spacing w:after="60"/>
        <w:rPr>
          <w:sz w:val="22"/>
          <w:szCs w:val="22"/>
        </w:rPr>
      </w:pPr>
      <w:r w:rsidRPr="00373374">
        <w:rPr>
          <w:sz w:val="22"/>
          <w:szCs w:val="22"/>
        </w:rPr>
        <w:t>Subpart</w:t>
      </w:r>
      <w:r w:rsidR="00563300" w:rsidRPr="00373374">
        <w:rPr>
          <w:sz w:val="22"/>
          <w:szCs w:val="22"/>
        </w:rPr>
        <w:t>s</w:t>
      </w:r>
      <w:r w:rsidRPr="00373374">
        <w:rPr>
          <w:sz w:val="22"/>
          <w:szCs w:val="22"/>
        </w:rPr>
        <w:t xml:space="preserve"> LLLL </w:t>
      </w:r>
      <w:r w:rsidR="00563300" w:rsidRPr="00373374">
        <w:rPr>
          <w:sz w:val="22"/>
          <w:szCs w:val="22"/>
        </w:rPr>
        <w:t xml:space="preserve">and MMMM </w:t>
      </w:r>
      <w:r w:rsidRPr="00373374">
        <w:rPr>
          <w:sz w:val="22"/>
          <w:szCs w:val="22"/>
        </w:rPr>
        <w:t>w</w:t>
      </w:r>
      <w:r w:rsidR="00563300" w:rsidRPr="00373374">
        <w:rPr>
          <w:sz w:val="22"/>
          <w:szCs w:val="22"/>
        </w:rPr>
        <w:t>ere</w:t>
      </w:r>
      <w:r w:rsidRPr="00373374">
        <w:rPr>
          <w:sz w:val="22"/>
          <w:szCs w:val="22"/>
        </w:rPr>
        <w:t xml:space="preserve"> promulgated by EPA on Marc</w:t>
      </w:r>
      <w:r w:rsidR="00F941DC" w:rsidRPr="00373374">
        <w:rPr>
          <w:sz w:val="22"/>
          <w:szCs w:val="22"/>
        </w:rPr>
        <w:t>h 21, 2011.</w:t>
      </w:r>
      <w:r w:rsidR="00E01D29" w:rsidRPr="00373374">
        <w:rPr>
          <w:sz w:val="22"/>
          <w:szCs w:val="22"/>
        </w:rPr>
        <w:t xml:space="preserve">  </w:t>
      </w:r>
      <w:r w:rsidR="00563300" w:rsidRPr="00373374">
        <w:rPr>
          <w:sz w:val="22"/>
          <w:szCs w:val="22"/>
        </w:rPr>
        <w:t xml:space="preserve">Subpart LLLL </w:t>
      </w:r>
      <w:r w:rsidR="00E01D29" w:rsidRPr="00373374">
        <w:rPr>
          <w:sz w:val="22"/>
          <w:szCs w:val="22"/>
        </w:rPr>
        <w:t>has since been adopted by the Department at Rule 62-204.800(8</w:t>
      </w:r>
      <w:proofErr w:type="gramStart"/>
      <w:r w:rsidR="00E01D29" w:rsidRPr="00373374">
        <w:rPr>
          <w:sz w:val="22"/>
          <w:szCs w:val="22"/>
        </w:rPr>
        <w:t>)(</w:t>
      </w:r>
      <w:proofErr w:type="gramEnd"/>
      <w:r w:rsidR="00E01D29" w:rsidRPr="00373374">
        <w:rPr>
          <w:sz w:val="22"/>
          <w:szCs w:val="22"/>
        </w:rPr>
        <w:t>b)82., F.A.C.</w:t>
      </w:r>
      <w:r w:rsidR="00F941DC" w:rsidRPr="00373374">
        <w:rPr>
          <w:sz w:val="22"/>
          <w:szCs w:val="22"/>
        </w:rPr>
        <w:t xml:space="preserve">  </w:t>
      </w:r>
      <w:hyperlink r:id="rId38" w:anchor="40:7.0.1.1.1.100.275.4" w:history="1">
        <w:r w:rsidR="001B2D24" w:rsidRPr="00373374">
          <w:rPr>
            <w:rStyle w:val="Hyperlink"/>
            <w:sz w:val="22"/>
            <w:szCs w:val="22"/>
          </w:rPr>
          <w:t>Link to Subpart LLLL</w:t>
        </w:r>
      </w:hyperlink>
      <w:r w:rsidR="001B2D24" w:rsidRPr="00373374">
        <w:rPr>
          <w:sz w:val="22"/>
          <w:szCs w:val="22"/>
        </w:rPr>
        <w:t xml:space="preserve">  </w:t>
      </w:r>
      <w:r w:rsidR="006A4FEA" w:rsidRPr="00373374">
        <w:rPr>
          <w:sz w:val="22"/>
          <w:szCs w:val="22"/>
        </w:rPr>
        <w:t>According to Subpart LLLL, §60.4775 a new SSI unit is</w:t>
      </w:r>
      <w:r w:rsidR="00563300" w:rsidRPr="00373374">
        <w:rPr>
          <w:sz w:val="22"/>
          <w:szCs w:val="22"/>
        </w:rPr>
        <w:t xml:space="preserve"> defined as follows</w:t>
      </w:r>
      <w:r w:rsidR="006A4FEA" w:rsidRPr="00373374">
        <w:rPr>
          <w:sz w:val="22"/>
          <w:szCs w:val="22"/>
        </w:rPr>
        <w:t>:</w:t>
      </w:r>
    </w:p>
    <w:p w:rsidR="006A4FEA" w:rsidRPr="00373374" w:rsidRDefault="006A4FEA" w:rsidP="006A4FEA">
      <w:pPr>
        <w:pStyle w:val="ListParagraph"/>
        <w:numPr>
          <w:ilvl w:val="2"/>
          <w:numId w:val="15"/>
        </w:numPr>
        <w:spacing w:after="60"/>
        <w:ind w:left="720"/>
        <w:contextualSpacing w:val="0"/>
        <w:rPr>
          <w:i/>
          <w:sz w:val="22"/>
          <w:szCs w:val="22"/>
        </w:rPr>
      </w:pPr>
      <w:r w:rsidRPr="00373374">
        <w:rPr>
          <w:i/>
          <w:sz w:val="22"/>
          <w:szCs w:val="22"/>
        </w:rPr>
        <w:t>A new SSI unit is a SSI unit that meets either of the two criteria specified in paragraph (a</w:t>
      </w:r>
      <w:proofErr w:type="gramStart"/>
      <w:r w:rsidRPr="00373374">
        <w:rPr>
          <w:i/>
          <w:sz w:val="22"/>
          <w:szCs w:val="22"/>
        </w:rPr>
        <w:t>)(</w:t>
      </w:r>
      <w:proofErr w:type="gramEnd"/>
      <w:r w:rsidRPr="00373374">
        <w:rPr>
          <w:i/>
          <w:sz w:val="22"/>
          <w:szCs w:val="22"/>
        </w:rPr>
        <w:t>1) or (a)(2) of this section.</w:t>
      </w:r>
    </w:p>
    <w:p w:rsidR="006A4FEA" w:rsidRPr="00373374" w:rsidRDefault="006A4FEA" w:rsidP="006A4FEA">
      <w:pPr>
        <w:pStyle w:val="ListParagraph"/>
        <w:numPr>
          <w:ilvl w:val="0"/>
          <w:numId w:val="37"/>
        </w:numPr>
        <w:spacing w:after="60"/>
        <w:ind w:left="1080"/>
        <w:contextualSpacing w:val="0"/>
        <w:rPr>
          <w:i/>
          <w:sz w:val="22"/>
          <w:szCs w:val="22"/>
        </w:rPr>
      </w:pPr>
      <w:r w:rsidRPr="00373374">
        <w:rPr>
          <w:i/>
          <w:sz w:val="22"/>
          <w:szCs w:val="22"/>
        </w:rPr>
        <w:t>Commenced construction after October 14, 2010.</w:t>
      </w:r>
    </w:p>
    <w:p w:rsidR="006A4FEA" w:rsidRPr="00373374" w:rsidRDefault="006A4FEA" w:rsidP="006A4FEA">
      <w:pPr>
        <w:pStyle w:val="ListParagraph"/>
        <w:numPr>
          <w:ilvl w:val="0"/>
          <w:numId w:val="37"/>
        </w:numPr>
        <w:spacing w:after="120"/>
        <w:ind w:left="1080"/>
        <w:rPr>
          <w:i/>
          <w:sz w:val="22"/>
          <w:szCs w:val="22"/>
        </w:rPr>
      </w:pPr>
      <w:r w:rsidRPr="00373374">
        <w:rPr>
          <w:i/>
          <w:sz w:val="22"/>
          <w:szCs w:val="22"/>
        </w:rPr>
        <w:t>Commenced modification after September 21, 2011.</w:t>
      </w:r>
    </w:p>
    <w:p w:rsidR="006A4FEA" w:rsidRPr="00373374" w:rsidRDefault="006A4FEA" w:rsidP="00E01C1A">
      <w:pPr>
        <w:spacing w:after="120"/>
        <w:rPr>
          <w:sz w:val="22"/>
          <w:szCs w:val="22"/>
        </w:rPr>
      </w:pPr>
      <w:r w:rsidRPr="00373374">
        <w:rPr>
          <w:sz w:val="22"/>
          <w:szCs w:val="22"/>
        </w:rPr>
        <w:t xml:space="preserve">According to the application, the four MWC were constructed before October 14, 2010.  This leaves open at least the </w:t>
      </w:r>
      <w:r w:rsidRPr="00373374">
        <w:rPr>
          <w:i/>
          <w:sz w:val="22"/>
          <w:szCs w:val="22"/>
        </w:rPr>
        <w:t>possibility</w:t>
      </w:r>
      <w:r w:rsidRPr="00373374">
        <w:rPr>
          <w:sz w:val="22"/>
          <w:szCs w:val="22"/>
        </w:rPr>
        <w:t xml:space="preserve"> that the four MWC could be SSI units if modified after September 21, 2011.</w:t>
      </w:r>
      <w:r w:rsidR="00563300" w:rsidRPr="00373374">
        <w:rPr>
          <w:sz w:val="22"/>
          <w:szCs w:val="22"/>
        </w:rPr>
        <w:t xml:space="preserve">  This matter is evaluated further below.</w:t>
      </w:r>
    </w:p>
    <w:p w:rsidR="00E01C1A" w:rsidRPr="00373374" w:rsidRDefault="001B2D24" w:rsidP="00E01C1A">
      <w:pPr>
        <w:spacing w:after="120"/>
        <w:rPr>
          <w:sz w:val="22"/>
          <w:szCs w:val="22"/>
        </w:rPr>
      </w:pPr>
      <w:r w:rsidRPr="00373374">
        <w:rPr>
          <w:sz w:val="22"/>
          <w:szCs w:val="22"/>
        </w:rPr>
        <w:t xml:space="preserve">According to Subpart LLLL, </w:t>
      </w:r>
      <w:r w:rsidR="00790DF7" w:rsidRPr="00373374">
        <w:rPr>
          <w:bCs/>
          <w:sz w:val="22"/>
          <w:szCs w:val="22"/>
        </w:rPr>
        <w:t xml:space="preserve">§60.4930, </w:t>
      </w:r>
      <w:r w:rsidRPr="00373374">
        <w:rPr>
          <w:sz w:val="22"/>
          <w:szCs w:val="22"/>
        </w:rPr>
        <w:t>a</w:t>
      </w:r>
      <w:r w:rsidR="00E01C1A" w:rsidRPr="00373374">
        <w:rPr>
          <w:sz w:val="22"/>
          <w:szCs w:val="22"/>
        </w:rPr>
        <w:t xml:space="preserve"> “sewage sludge incineration (SSI) unit” means:</w:t>
      </w:r>
    </w:p>
    <w:p w:rsidR="00E01C1A" w:rsidRPr="00373374" w:rsidRDefault="00E01C1A" w:rsidP="00E01C1A">
      <w:pPr>
        <w:spacing w:after="120"/>
        <w:ind w:left="360" w:right="360"/>
        <w:jc w:val="both"/>
        <w:rPr>
          <w:i/>
          <w:sz w:val="22"/>
          <w:szCs w:val="22"/>
        </w:rPr>
      </w:pPr>
      <w:r w:rsidRPr="00373374">
        <w:rPr>
          <w:i/>
          <w:iCs/>
          <w:sz w:val="22"/>
          <w:szCs w:val="22"/>
        </w:rPr>
        <w:lastRenderedPageBreak/>
        <w:t>“</w:t>
      </w:r>
      <w:r w:rsidR="002C44C9" w:rsidRPr="00373374">
        <w:rPr>
          <w:i/>
          <w:iCs/>
          <w:sz w:val="22"/>
          <w:szCs w:val="22"/>
        </w:rPr>
        <w:t>A</w:t>
      </w:r>
      <w:r w:rsidRPr="00373374">
        <w:rPr>
          <w:i/>
          <w:sz w:val="22"/>
          <w:szCs w:val="22"/>
        </w:rPr>
        <w:t xml:space="preserve">n incineration unit combusting sewage sludge for the purpose of reducing the volume of the sewage sludge by removing combustible matter. Sewage sludge incineration unit designs </w:t>
      </w:r>
      <w:r w:rsidRPr="00373374">
        <w:rPr>
          <w:b/>
          <w:i/>
          <w:sz w:val="22"/>
          <w:szCs w:val="22"/>
        </w:rPr>
        <w:t xml:space="preserve">include fluidized bed and multiple </w:t>
      </w:r>
      <w:proofErr w:type="gramStart"/>
      <w:r w:rsidRPr="00373374">
        <w:rPr>
          <w:b/>
          <w:i/>
          <w:sz w:val="22"/>
          <w:szCs w:val="22"/>
        </w:rPr>
        <w:t>hearth</w:t>
      </w:r>
      <w:proofErr w:type="gramEnd"/>
      <w:r w:rsidRPr="00373374">
        <w:rPr>
          <w:i/>
          <w:sz w:val="22"/>
          <w:szCs w:val="22"/>
        </w:rPr>
        <w:t>.  A SSI unit also includes, but is not limited to, the sewage sludge feed system, auxiliary fuel feed system, grate system, flue gas system, waste heat recovery equipment, if any, and bottom ash system. The SSI unit includes all ash handling systems connected to the bottom ash handling system. The combustion unit bottom ash system ends at the truck loading station or similar equipment that transfers the ash to final disposal. The SSI unit does not include air pollution control equipment or the stack.”</w:t>
      </w:r>
    </w:p>
    <w:p w:rsidR="003B4E2E" w:rsidRPr="00373374" w:rsidRDefault="00F432F6" w:rsidP="003B4E2E">
      <w:pPr>
        <w:spacing w:after="60"/>
        <w:rPr>
          <w:bCs/>
          <w:sz w:val="22"/>
          <w:szCs w:val="22"/>
        </w:rPr>
      </w:pPr>
      <w:r w:rsidRPr="00373374">
        <w:rPr>
          <w:bCs/>
          <w:sz w:val="22"/>
          <w:szCs w:val="22"/>
        </w:rPr>
        <w:t xml:space="preserve">While the definition includes fluidized bed and multiple hearth designs, </w:t>
      </w:r>
      <w:r w:rsidR="003B4E2E" w:rsidRPr="00373374">
        <w:rPr>
          <w:bCs/>
          <w:sz w:val="22"/>
          <w:szCs w:val="22"/>
        </w:rPr>
        <w:t xml:space="preserve">it </w:t>
      </w:r>
      <w:r w:rsidRPr="00373374">
        <w:rPr>
          <w:bCs/>
          <w:sz w:val="22"/>
          <w:szCs w:val="22"/>
        </w:rPr>
        <w:t xml:space="preserve">does not </w:t>
      </w:r>
      <w:r w:rsidR="003B4E2E" w:rsidRPr="00373374">
        <w:rPr>
          <w:bCs/>
          <w:sz w:val="22"/>
          <w:szCs w:val="22"/>
        </w:rPr>
        <w:t xml:space="preserve">explicitly </w:t>
      </w:r>
      <w:r w:rsidRPr="00373374">
        <w:rPr>
          <w:bCs/>
          <w:sz w:val="22"/>
          <w:szCs w:val="22"/>
        </w:rPr>
        <w:t xml:space="preserve">state that other designs are excluded from the definition.  </w:t>
      </w:r>
      <w:r w:rsidR="00790DF7" w:rsidRPr="00373374">
        <w:rPr>
          <w:bCs/>
          <w:sz w:val="22"/>
          <w:szCs w:val="22"/>
        </w:rPr>
        <w:t>Table</w:t>
      </w:r>
      <w:r w:rsidRPr="00373374">
        <w:rPr>
          <w:bCs/>
          <w:sz w:val="22"/>
          <w:szCs w:val="22"/>
        </w:rPr>
        <w:t>s</w:t>
      </w:r>
      <w:r w:rsidR="00790DF7" w:rsidRPr="00373374">
        <w:rPr>
          <w:bCs/>
          <w:sz w:val="22"/>
          <w:szCs w:val="22"/>
        </w:rPr>
        <w:t xml:space="preserve"> 1 </w:t>
      </w:r>
      <w:r w:rsidRPr="00373374">
        <w:rPr>
          <w:bCs/>
          <w:sz w:val="22"/>
          <w:szCs w:val="22"/>
        </w:rPr>
        <w:t xml:space="preserve">and 2 </w:t>
      </w:r>
      <w:r w:rsidR="00790DF7" w:rsidRPr="00373374">
        <w:rPr>
          <w:bCs/>
          <w:sz w:val="22"/>
          <w:szCs w:val="22"/>
        </w:rPr>
        <w:t>to Subpart LLLL</w:t>
      </w:r>
      <w:r w:rsidRPr="00373374">
        <w:rPr>
          <w:bCs/>
          <w:sz w:val="22"/>
          <w:szCs w:val="22"/>
        </w:rPr>
        <w:t xml:space="preserve"> specify e</w:t>
      </w:r>
      <w:r w:rsidR="00790DF7" w:rsidRPr="00373374">
        <w:rPr>
          <w:bCs/>
          <w:sz w:val="22"/>
          <w:szCs w:val="22"/>
        </w:rPr>
        <w:t xml:space="preserve">mission </w:t>
      </w:r>
      <w:r w:rsidRPr="00373374">
        <w:rPr>
          <w:bCs/>
          <w:sz w:val="22"/>
          <w:szCs w:val="22"/>
        </w:rPr>
        <w:t>l</w:t>
      </w:r>
      <w:r w:rsidR="00790DF7" w:rsidRPr="00373374">
        <w:rPr>
          <w:bCs/>
          <w:sz w:val="22"/>
          <w:szCs w:val="22"/>
        </w:rPr>
        <w:t xml:space="preserve">imits and </w:t>
      </w:r>
      <w:r w:rsidRPr="00373374">
        <w:rPr>
          <w:bCs/>
          <w:sz w:val="22"/>
          <w:szCs w:val="22"/>
        </w:rPr>
        <w:t>s</w:t>
      </w:r>
      <w:r w:rsidR="00790DF7" w:rsidRPr="00373374">
        <w:rPr>
          <w:bCs/>
          <w:sz w:val="22"/>
          <w:szCs w:val="22"/>
        </w:rPr>
        <w:t xml:space="preserve">tandards for </w:t>
      </w:r>
      <w:r w:rsidRPr="00373374">
        <w:rPr>
          <w:bCs/>
          <w:sz w:val="22"/>
          <w:szCs w:val="22"/>
        </w:rPr>
        <w:t xml:space="preserve">new </w:t>
      </w:r>
      <w:r w:rsidR="00790DF7" w:rsidRPr="00373374">
        <w:rPr>
          <w:bCs/>
          <w:sz w:val="22"/>
          <w:szCs w:val="22"/>
        </w:rPr>
        <w:t>F</w:t>
      </w:r>
      <w:r w:rsidRPr="00373374">
        <w:rPr>
          <w:bCs/>
          <w:sz w:val="22"/>
          <w:szCs w:val="22"/>
        </w:rPr>
        <w:t xml:space="preserve">B and MH </w:t>
      </w:r>
      <w:r w:rsidR="00790DF7" w:rsidRPr="00373374">
        <w:rPr>
          <w:bCs/>
          <w:sz w:val="22"/>
          <w:szCs w:val="22"/>
        </w:rPr>
        <w:t>S</w:t>
      </w:r>
      <w:r w:rsidRPr="00373374">
        <w:rPr>
          <w:bCs/>
          <w:sz w:val="22"/>
          <w:szCs w:val="22"/>
        </w:rPr>
        <w:t>SI units only.</w:t>
      </w:r>
      <w:r w:rsidR="003B4E2E" w:rsidRPr="00373374">
        <w:rPr>
          <w:bCs/>
          <w:sz w:val="22"/>
          <w:szCs w:val="22"/>
        </w:rPr>
        <w:t xml:space="preserve">  The common language Fact Sheet accompanying the Final Rule and the Emission Guideline is very clear on this point.  </w:t>
      </w:r>
      <w:hyperlink r:id="rId39" w:history="1">
        <w:r w:rsidR="003B4E2E" w:rsidRPr="00373374">
          <w:rPr>
            <w:rStyle w:val="Hyperlink"/>
            <w:bCs/>
            <w:sz w:val="22"/>
            <w:szCs w:val="22"/>
          </w:rPr>
          <w:t>Link to Subpart LLLL and MMMM fact Sheet</w:t>
        </w:r>
      </w:hyperlink>
      <w:r w:rsidR="003B4E2E" w:rsidRPr="00373374">
        <w:rPr>
          <w:bCs/>
          <w:sz w:val="22"/>
          <w:szCs w:val="22"/>
        </w:rPr>
        <w:t xml:space="preserve"> .  The Fact Sheet states:</w:t>
      </w:r>
    </w:p>
    <w:p w:rsidR="003B4E2E" w:rsidRPr="00373374" w:rsidRDefault="003B4E2E" w:rsidP="003B4E2E">
      <w:pPr>
        <w:pStyle w:val="ListParagraph"/>
        <w:numPr>
          <w:ilvl w:val="0"/>
          <w:numId w:val="41"/>
        </w:numPr>
        <w:autoSpaceDE w:val="0"/>
        <w:autoSpaceDN w:val="0"/>
        <w:adjustRightInd w:val="0"/>
        <w:spacing w:after="60"/>
        <w:ind w:right="324"/>
        <w:contextualSpacing w:val="0"/>
        <w:jc w:val="both"/>
        <w:rPr>
          <w:i/>
          <w:sz w:val="22"/>
          <w:szCs w:val="22"/>
        </w:rPr>
      </w:pPr>
      <w:r w:rsidRPr="00373374">
        <w:rPr>
          <w:i/>
          <w:sz w:val="22"/>
          <w:szCs w:val="22"/>
        </w:rPr>
        <w:t>The final rules cover two SSI subcategories based on the type of incinerator: multiple hearth (MH) and fluidized bed (FB).</w:t>
      </w:r>
    </w:p>
    <w:p w:rsidR="003B4E2E" w:rsidRPr="00373374" w:rsidRDefault="003B4E2E" w:rsidP="003B4E2E">
      <w:pPr>
        <w:pStyle w:val="ListParagraph"/>
        <w:numPr>
          <w:ilvl w:val="0"/>
          <w:numId w:val="41"/>
        </w:numPr>
        <w:autoSpaceDE w:val="0"/>
        <w:autoSpaceDN w:val="0"/>
        <w:adjustRightInd w:val="0"/>
        <w:spacing w:after="120"/>
        <w:ind w:right="324"/>
        <w:jc w:val="both"/>
        <w:rPr>
          <w:bCs/>
          <w:i/>
          <w:sz w:val="22"/>
          <w:szCs w:val="22"/>
        </w:rPr>
      </w:pPr>
      <w:r w:rsidRPr="00373374">
        <w:rPr>
          <w:i/>
          <w:sz w:val="22"/>
          <w:szCs w:val="22"/>
        </w:rPr>
        <w:t>Units incinerating sewage sludge at other types of facilities (e.g., commercial, industrial, and institutional) will be covered under different air pollution incineration standards.</w:t>
      </w:r>
    </w:p>
    <w:p w:rsidR="002520AB" w:rsidRPr="00373374" w:rsidRDefault="002520AB" w:rsidP="002520AB">
      <w:pPr>
        <w:spacing w:after="120"/>
        <w:rPr>
          <w:bCs/>
          <w:sz w:val="22"/>
          <w:szCs w:val="22"/>
        </w:rPr>
      </w:pPr>
      <w:r w:rsidRPr="00373374">
        <w:rPr>
          <w:bCs/>
          <w:sz w:val="22"/>
          <w:szCs w:val="22"/>
        </w:rPr>
        <w:t xml:space="preserve">Subpart LLLL, §60.4780 and Subpart </w:t>
      </w:r>
      <w:r w:rsidRPr="00373374">
        <w:rPr>
          <w:sz w:val="22"/>
          <w:szCs w:val="22"/>
        </w:rPr>
        <w:t xml:space="preserve">MMMM, §60.5065 </w:t>
      </w:r>
      <w:r w:rsidRPr="00373374">
        <w:rPr>
          <w:bCs/>
          <w:sz w:val="22"/>
          <w:szCs w:val="22"/>
        </w:rPr>
        <w:t>specify SSI units that are exempt from this subpart as follows:</w:t>
      </w:r>
    </w:p>
    <w:p w:rsidR="002520AB" w:rsidRPr="00373374" w:rsidRDefault="002520AB" w:rsidP="002520AB">
      <w:pPr>
        <w:spacing w:after="120"/>
        <w:ind w:left="360" w:right="360"/>
        <w:jc w:val="both"/>
        <w:rPr>
          <w:i/>
          <w:iCs/>
          <w:sz w:val="22"/>
          <w:szCs w:val="22"/>
        </w:rPr>
      </w:pPr>
      <w:r w:rsidRPr="00373374">
        <w:rPr>
          <w:i/>
          <w:iCs/>
          <w:sz w:val="22"/>
          <w:szCs w:val="22"/>
        </w:rPr>
        <w:t xml:space="preserve">This subpart exempts combustion units that incinerate sewage sludge and are not located at a wastewater treatment facility designed to treat domestic sewage sludge.  These units may be subject to another subpart of this part (e.g., subpart CCCC of this part).  </w:t>
      </w:r>
      <w:r w:rsidRPr="00373374">
        <w:rPr>
          <w:b/>
          <w:i/>
          <w:iCs/>
          <w:sz w:val="22"/>
          <w:szCs w:val="22"/>
        </w:rPr>
        <w:t>The owner or operator of such a combustion unit must notify the Administrator of an exemption claim under this section.</w:t>
      </w:r>
    </w:p>
    <w:p w:rsidR="00BD6745" w:rsidRPr="00373374" w:rsidRDefault="00F432F6" w:rsidP="00A73692">
      <w:pPr>
        <w:spacing w:after="120"/>
        <w:rPr>
          <w:sz w:val="22"/>
          <w:szCs w:val="22"/>
        </w:rPr>
      </w:pPr>
      <w:r w:rsidRPr="00373374">
        <w:rPr>
          <w:bCs/>
          <w:sz w:val="22"/>
          <w:szCs w:val="22"/>
        </w:rPr>
        <w:t>The grater stoker furnace/boiler</w:t>
      </w:r>
      <w:r w:rsidR="00FC7BB7" w:rsidRPr="00373374">
        <w:rPr>
          <w:bCs/>
          <w:sz w:val="22"/>
          <w:szCs w:val="22"/>
        </w:rPr>
        <w:t xml:space="preserve"> design of the four MWC’s at the Hillsborough County RRF is not that of a FB or MH.  Therefore, at the very least, it can be concluded that the four MWC are not or will not be governed by the limits in Subpart</w:t>
      </w:r>
      <w:r w:rsidR="002520AB" w:rsidRPr="00373374">
        <w:rPr>
          <w:bCs/>
          <w:sz w:val="22"/>
          <w:szCs w:val="22"/>
        </w:rPr>
        <w:t>s</w:t>
      </w:r>
      <w:r w:rsidR="00FC7BB7" w:rsidRPr="00373374">
        <w:rPr>
          <w:bCs/>
          <w:sz w:val="22"/>
          <w:szCs w:val="22"/>
        </w:rPr>
        <w:t xml:space="preserve"> LLLL </w:t>
      </w:r>
      <w:r w:rsidR="002520AB" w:rsidRPr="00373374">
        <w:rPr>
          <w:bCs/>
          <w:sz w:val="22"/>
          <w:szCs w:val="22"/>
        </w:rPr>
        <w:t xml:space="preserve">and MMMM.  </w:t>
      </w:r>
      <w:r w:rsidR="008F2C19" w:rsidRPr="00373374">
        <w:rPr>
          <w:sz w:val="22"/>
          <w:szCs w:val="22"/>
        </w:rPr>
        <w:t>The four MWC</w:t>
      </w:r>
      <w:r w:rsidR="00DE70C8" w:rsidRPr="00373374">
        <w:rPr>
          <w:sz w:val="22"/>
          <w:szCs w:val="22"/>
        </w:rPr>
        <w:t>’s</w:t>
      </w:r>
      <w:r w:rsidR="008F2C19" w:rsidRPr="00373374">
        <w:rPr>
          <w:sz w:val="22"/>
          <w:szCs w:val="22"/>
        </w:rPr>
        <w:t xml:space="preserve"> are indeed </w:t>
      </w:r>
      <w:r w:rsidR="00A73692" w:rsidRPr="00373374">
        <w:rPr>
          <w:sz w:val="22"/>
          <w:szCs w:val="22"/>
        </w:rPr>
        <w:t xml:space="preserve">already </w:t>
      </w:r>
      <w:r w:rsidR="008F2C19" w:rsidRPr="00373374">
        <w:rPr>
          <w:sz w:val="22"/>
          <w:szCs w:val="22"/>
        </w:rPr>
        <w:t xml:space="preserve">subject to </w:t>
      </w:r>
      <w:r w:rsidR="002520AB" w:rsidRPr="00373374">
        <w:rPr>
          <w:sz w:val="22"/>
          <w:szCs w:val="22"/>
        </w:rPr>
        <w:t>“</w:t>
      </w:r>
      <w:r w:rsidR="008F2C19" w:rsidRPr="00373374">
        <w:rPr>
          <w:sz w:val="22"/>
          <w:szCs w:val="22"/>
        </w:rPr>
        <w:t xml:space="preserve">another subpart </w:t>
      </w:r>
      <w:r w:rsidR="002520AB" w:rsidRPr="00373374">
        <w:rPr>
          <w:sz w:val="22"/>
          <w:szCs w:val="22"/>
        </w:rPr>
        <w:t xml:space="preserve">of this part (e.g. subpart CCCC </w:t>
      </w:r>
      <w:r w:rsidR="008F2C19" w:rsidRPr="00373374">
        <w:rPr>
          <w:sz w:val="22"/>
          <w:szCs w:val="22"/>
        </w:rPr>
        <w:t>of this part</w:t>
      </w:r>
      <w:r w:rsidR="002520AB" w:rsidRPr="00373374">
        <w:rPr>
          <w:sz w:val="22"/>
          <w:szCs w:val="22"/>
        </w:rPr>
        <w:t>)”</w:t>
      </w:r>
      <w:r w:rsidR="008F2C19" w:rsidRPr="00373374">
        <w:rPr>
          <w:sz w:val="22"/>
          <w:szCs w:val="22"/>
        </w:rPr>
        <w:t xml:space="preserve">.  </w:t>
      </w:r>
      <w:r w:rsidR="00BD6745" w:rsidRPr="00373374">
        <w:rPr>
          <w:sz w:val="22"/>
          <w:szCs w:val="22"/>
        </w:rPr>
        <w:t xml:space="preserve">The reference is to subparts within 40 CFR 60 and specifically to those subpart promulgated pursuant to CAA Section 129 to address solid waste, such as 40 CFR 60, Subpart CCCC-Standards of Performance for Commercial and Industrial Solid Waste Incineration (CISWI) Units.  </w:t>
      </w:r>
      <w:hyperlink r:id="rId40" w:history="1">
        <w:r w:rsidR="00BD6745" w:rsidRPr="00373374">
          <w:rPr>
            <w:rStyle w:val="Hyperlink"/>
            <w:sz w:val="22"/>
            <w:szCs w:val="22"/>
          </w:rPr>
          <w:t>Link to Subpart CCCC</w:t>
        </w:r>
      </w:hyperlink>
      <w:r w:rsidR="00BD6745" w:rsidRPr="00373374">
        <w:rPr>
          <w:sz w:val="22"/>
          <w:szCs w:val="22"/>
        </w:rPr>
        <w:t xml:space="preserve"> </w:t>
      </w:r>
    </w:p>
    <w:p w:rsidR="00C27585" w:rsidRPr="00373374" w:rsidRDefault="008F2C19" w:rsidP="00A73692">
      <w:pPr>
        <w:spacing w:after="120"/>
        <w:rPr>
          <w:sz w:val="22"/>
          <w:szCs w:val="22"/>
        </w:rPr>
      </w:pPr>
      <w:r w:rsidRPr="00373374">
        <w:rPr>
          <w:sz w:val="22"/>
          <w:szCs w:val="22"/>
        </w:rPr>
        <w:t>Specifically</w:t>
      </w:r>
      <w:r w:rsidR="00BD6745" w:rsidRPr="00373374">
        <w:rPr>
          <w:sz w:val="22"/>
          <w:szCs w:val="22"/>
        </w:rPr>
        <w:t>,</w:t>
      </w:r>
      <w:r w:rsidRPr="00373374">
        <w:rPr>
          <w:sz w:val="22"/>
          <w:szCs w:val="22"/>
        </w:rPr>
        <w:t xml:space="preserve"> the four MWC are subject to </w:t>
      </w:r>
      <w:r w:rsidR="002B181A" w:rsidRPr="00373374">
        <w:rPr>
          <w:sz w:val="22"/>
          <w:szCs w:val="22"/>
        </w:rPr>
        <w:t xml:space="preserve">40 CFR 60, </w:t>
      </w:r>
      <w:r w:rsidRPr="00373374">
        <w:rPr>
          <w:sz w:val="22"/>
          <w:szCs w:val="22"/>
        </w:rPr>
        <w:t>Subpart E</w:t>
      </w:r>
      <w:r w:rsidR="002B181A" w:rsidRPr="00373374">
        <w:rPr>
          <w:sz w:val="22"/>
          <w:szCs w:val="22"/>
        </w:rPr>
        <w:t>b</w:t>
      </w:r>
      <w:r w:rsidRPr="00373374">
        <w:rPr>
          <w:sz w:val="22"/>
          <w:szCs w:val="22"/>
        </w:rPr>
        <w:t xml:space="preserve"> or to the Department’s MWC Rule (pursuant to </w:t>
      </w:r>
      <w:r w:rsidR="002B181A" w:rsidRPr="00373374">
        <w:rPr>
          <w:sz w:val="22"/>
          <w:szCs w:val="22"/>
        </w:rPr>
        <w:t xml:space="preserve">40 CFR 60, </w:t>
      </w:r>
      <w:r w:rsidRPr="00373374">
        <w:rPr>
          <w:sz w:val="22"/>
          <w:szCs w:val="22"/>
        </w:rPr>
        <w:t xml:space="preserve">Subpart Cb).  </w:t>
      </w:r>
      <w:r w:rsidR="00BD6745" w:rsidRPr="00373374">
        <w:rPr>
          <w:sz w:val="22"/>
          <w:szCs w:val="22"/>
        </w:rPr>
        <w:t>In this respect, the four MWC are regulated by “subparts of this part” and are much like Subpart CCCC in their regulation of solid waste and actually limit the same pollutants</w:t>
      </w:r>
      <w:r w:rsidR="00C27585" w:rsidRPr="00373374">
        <w:rPr>
          <w:sz w:val="22"/>
          <w:szCs w:val="22"/>
        </w:rPr>
        <w:t xml:space="preserve"> (e.g., NO</w:t>
      </w:r>
      <w:r w:rsidR="00C27585" w:rsidRPr="00373374">
        <w:rPr>
          <w:sz w:val="22"/>
          <w:szCs w:val="22"/>
          <w:vertAlign w:val="subscript"/>
        </w:rPr>
        <w:t>X</w:t>
      </w:r>
      <w:r w:rsidR="00C27585" w:rsidRPr="00373374">
        <w:rPr>
          <w:sz w:val="22"/>
          <w:szCs w:val="22"/>
        </w:rPr>
        <w:t>, CO, dioxin/furan, mercury, MWC metals, etc.</w:t>
      </w:r>
    </w:p>
    <w:p w:rsidR="00C27585" w:rsidRPr="00373374" w:rsidRDefault="00C27585" w:rsidP="00C27585">
      <w:pPr>
        <w:spacing w:after="120"/>
        <w:rPr>
          <w:bCs/>
          <w:sz w:val="22"/>
          <w:szCs w:val="22"/>
        </w:rPr>
      </w:pPr>
      <w:r w:rsidRPr="00373374">
        <w:rPr>
          <w:bCs/>
          <w:sz w:val="22"/>
          <w:szCs w:val="22"/>
        </w:rPr>
        <w:t xml:space="preserve">The application included the following rationale with respect to Subpart MMMM:  </w:t>
      </w:r>
    </w:p>
    <w:p w:rsidR="00C27585" w:rsidRPr="00373374" w:rsidRDefault="00C27585" w:rsidP="00C27585">
      <w:pPr>
        <w:spacing w:after="120"/>
        <w:ind w:left="360" w:right="360"/>
        <w:jc w:val="both"/>
        <w:rPr>
          <w:i/>
          <w:sz w:val="22"/>
          <w:szCs w:val="22"/>
        </w:rPr>
      </w:pPr>
      <w:r w:rsidRPr="00373374">
        <w:rPr>
          <w:i/>
          <w:sz w:val="22"/>
          <w:szCs w:val="22"/>
        </w:rPr>
        <w:t xml:space="preserve">“Since the Hillsborough RRF is not located at a wastewater treatment facility, it is exempt from Subpart MMMM, and Subparts </w:t>
      </w:r>
      <w:proofErr w:type="spellStart"/>
      <w:r w:rsidRPr="00373374">
        <w:rPr>
          <w:i/>
          <w:sz w:val="22"/>
          <w:szCs w:val="22"/>
        </w:rPr>
        <w:t>Cb</w:t>
      </w:r>
      <w:proofErr w:type="spellEnd"/>
      <w:r w:rsidRPr="00373374">
        <w:rPr>
          <w:i/>
          <w:sz w:val="22"/>
          <w:szCs w:val="22"/>
        </w:rPr>
        <w:t xml:space="preserve"> and </w:t>
      </w:r>
      <w:proofErr w:type="spellStart"/>
      <w:r w:rsidRPr="00373374">
        <w:rPr>
          <w:i/>
          <w:sz w:val="22"/>
          <w:szCs w:val="22"/>
        </w:rPr>
        <w:t>Eb</w:t>
      </w:r>
      <w:proofErr w:type="spellEnd"/>
      <w:r w:rsidRPr="00373374">
        <w:rPr>
          <w:i/>
          <w:sz w:val="22"/>
          <w:szCs w:val="22"/>
        </w:rPr>
        <w:t xml:space="preserve"> apply.  </w:t>
      </w:r>
      <w:r w:rsidRPr="00373374">
        <w:rPr>
          <w:b/>
          <w:i/>
          <w:sz w:val="22"/>
          <w:szCs w:val="22"/>
        </w:rPr>
        <w:t>With this application, Hillsborough County is notifying FDEP of this exemption</w:t>
      </w:r>
      <w:r w:rsidRPr="00373374">
        <w:rPr>
          <w:i/>
          <w:sz w:val="22"/>
          <w:szCs w:val="22"/>
        </w:rPr>
        <w:t>.”</w:t>
      </w:r>
    </w:p>
    <w:p w:rsidR="00AA1FBF" w:rsidRPr="00373374" w:rsidRDefault="00AA1FBF" w:rsidP="00892794">
      <w:pPr>
        <w:spacing w:after="120"/>
        <w:rPr>
          <w:sz w:val="22"/>
          <w:szCs w:val="22"/>
        </w:rPr>
      </w:pPr>
      <w:r w:rsidRPr="00373374">
        <w:rPr>
          <w:sz w:val="22"/>
          <w:szCs w:val="22"/>
        </w:rPr>
        <w:t>As shown in Figure 1 above, t</w:t>
      </w:r>
      <w:r w:rsidR="002B181A" w:rsidRPr="00373374">
        <w:rPr>
          <w:sz w:val="22"/>
          <w:szCs w:val="22"/>
        </w:rPr>
        <w:t>he Falkenburg Advan</w:t>
      </w:r>
      <w:r w:rsidR="00BE023B" w:rsidRPr="00373374">
        <w:rPr>
          <w:sz w:val="22"/>
          <w:szCs w:val="22"/>
        </w:rPr>
        <w:t xml:space="preserve">ced WWTP (one of several WWTP </w:t>
      </w:r>
      <w:r w:rsidR="002B181A" w:rsidRPr="00373374">
        <w:rPr>
          <w:sz w:val="22"/>
          <w:szCs w:val="22"/>
        </w:rPr>
        <w:t>that will supply biosolids</w:t>
      </w:r>
      <w:r w:rsidR="00BE023B" w:rsidRPr="00373374">
        <w:rPr>
          <w:sz w:val="22"/>
          <w:szCs w:val="22"/>
        </w:rPr>
        <w:t>)</w:t>
      </w:r>
      <w:r w:rsidR="002B181A" w:rsidRPr="00373374">
        <w:rPr>
          <w:sz w:val="22"/>
          <w:szCs w:val="22"/>
        </w:rPr>
        <w:t xml:space="preserve"> </w:t>
      </w:r>
      <w:r w:rsidRPr="00373374">
        <w:rPr>
          <w:sz w:val="22"/>
          <w:szCs w:val="22"/>
        </w:rPr>
        <w:t xml:space="preserve">lies on property contiguous to the property upon which the four MWC’s (i.e. waste-to-energy plant) are located.  The Falkenburg Advanced WWPT </w:t>
      </w:r>
      <w:r w:rsidR="002B181A" w:rsidRPr="00373374">
        <w:rPr>
          <w:sz w:val="22"/>
          <w:szCs w:val="22"/>
        </w:rPr>
        <w:t>is listed as an unregulated unit within the Hillsborough County RRF</w:t>
      </w:r>
      <w:r w:rsidRPr="00373374">
        <w:rPr>
          <w:sz w:val="22"/>
          <w:szCs w:val="22"/>
        </w:rPr>
        <w:t xml:space="preserve">.  The Falkenburg Advanced WWPT is designed to dewater sewage sludge but not designed to further dry, pelletize </w:t>
      </w:r>
      <w:r w:rsidR="00C27585" w:rsidRPr="00373374">
        <w:rPr>
          <w:sz w:val="22"/>
          <w:szCs w:val="22"/>
        </w:rPr>
        <w:t xml:space="preserve">or </w:t>
      </w:r>
      <w:r w:rsidRPr="00373374">
        <w:rPr>
          <w:sz w:val="22"/>
          <w:szCs w:val="22"/>
        </w:rPr>
        <w:t xml:space="preserve">incinerate sewage sludge.  </w:t>
      </w:r>
    </w:p>
    <w:p w:rsidR="009C2C18" w:rsidRPr="00373374" w:rsidRDefault="002A20D9" w:rsidP="00892794">
      <w:pPr>
        <w:spacing w:after="120"/>
        <w:rPr>
          <w:sz w:val="22"/>
          <w:szCs w:val="22"/>
        </w:rPr>
      </w:pPr>
      <w:r w:rsidRPr="00373374">
        <w:rPr>
          <w:sz w:val="22"/>
          <w:szCs w:val="22"/>
        </w:rPr>
        <w:t xml:space="preserve">Although the WWTP and the WTE plant are part of the same facility per the Title V operating permit, they were </w:t>
      </w:r>
      <w:r w:rsidR="00A73692" w:rsidRPr="00373374">
        <w:rPr>
          <w:sz w:val="22"/>
          <w:szCs w:val="22"/>
        </w:rPr>
        <w:t xml:space="preserve">not located </w:t>
      </w:r>
      <w:r w:rsidRPr="00373374">
        <w:rPr>
          <w:sz w:val="22"/>
          <w:szCs w:val="22"/>
        </w:rPr>
        <w:t xml:space="preserve">on the </w:t>
      </w:r>
      <w:r w:rsidR="00EE3035" w:rsidRPr="00373374">
        <w:rPr>
          <w:sz w:val="22"/>
          <w:szCs w:val="22"/>
        </w:rPr>
        <w:t>contiguous</w:t>
      </w:r>
      <w:r w:rsidR="0070608B" w:rsidRPr="00373374">
        <w:rPr>
          <w:sz w:val="22"/>
          <w:szCs w:val="22"/>
        </w:rPr>
        <w:t xml:space="preserve"> properties </w:t>
      </w:r>
      <w:r w:rsidR="00A73692" w:rsidRPr="00373374">
        <w:rPr>
          <w:sz w:val="22"/>
          <w:szCs w:val="22"/>
        </w:rPr>
        <w:t>to provide services or materials to each other.</w:t>
      </w:r>
      <w:r w:rsidR="0070608B" w:rsidRPr="00373374">
        <w:rPr>
          <w:sz w:val="22"/>
          <w:szCs w:val="22"/>
        </w:rPr>
        <w:t xml:space="preserve">  In fact, the operator is prohibited and has been prohibited from taking sewage sludge for the 25 years that MWC’s have operated at the facility.</w:t>
      </w:r>
      <w:r w:rsidR="00C27585" w:rsidRPr="00373374">
        <w:rPr>
          <w:sz w:val="22"/>
          <w:szCs w:val="22"/>
        </w:rPr>
        <w:t xml:space="preserve">  </w:t>
      </w:r>
      <w:r w:rsidR="0070608B" w:rsidRPr="00373374">
        <w:rPr>
          <w:sz w:val="22"/>
          <w:szCs w:val="22"/>
        </w:rPr>
        <w:t xml:space="preserve">While it may appear to be a fine point, the Department concludes that the four MWC’s are </w:t>
      </w:r>
      <w:r w:rsidR="0070608B" w:rsidRPr="00373374">
        <w:rPr>
          <w:b/>
          <w:sz w:val="22"/>
          <w:szCs w:val="22"/>
        </w:rPr>
        <w:t>not</w:t>
      </w:r>
      <w:r w:rsidR="0070608B" w:rsidRPr="00373374">
        <w:rPr>
          <w:sz w:val="22"/>
          <w:szCs w:val="22"/>
        </w:rPr>
        <w:t xml:space="preserve"> actually located at the WWTP within the context and intent of the described exemption.</w:t>
      </w:r>
      <w:r w:rsidR="009C2C18" w:rsidRPr="00373374">
        <w:rPr>
          <w:sz w:val="22"/>
          <w:szCs w:val="22"/>
        </w:rPr>
        <w:t xml:space="preserve">  </w:t>
      </w:r>
    </w:p>
    <w:p w:rsidR="007436D4" w:rsidRDefault="007436D4">
      <w:pPr>
        <w:rPr>
          <w:sz w:val="22"/>
          <w:szCs w:val="22"/>
        </w:rPr>
      </w:pPr>
      <w:r>
        <w:rPr>
          <w:sz w:val="22"/>
          <w:szCs w:val="22"/>
        </w:rPr>
        <w:br w:type="page"/>
      </w:r>
    </w:p>
    <w:p w:rsidR="0070608B" w:rsidRPr="00373374" w:rsidRDefault="009C2C18" w:rsidP="00892794">
      <w:pPr>
        <w:spacing w:after="120"/>
        <w:rPr>
          <w:sz w:val="22"/>
          <w:szCs w:val="22"/>
        </w:rPr>
      </w:pPr>
      <w:r w:rsidRPr="00373374">
        <w:rPr>
          <w:sz w:val="22"/>
          <w:szCs w:val="22"/>
        </w:rPr>
        <w:lastRenderedPageBreak/>
        <w:t xml:space="preserve">The exemption is acknowledged due to the applicability of Subparts </w:t>
      </w:r>
      <w:proofErr w:type="spellStart"/>
      <w:r w:rsidRPr="00373374">
        <w:rPr>
          <w:sz w:val="22"/>
          <w:szCs w:val="22"/>
        </w:rPr>
        <w:t>Eb</w:t>
      </w:r>
      <w:proofErr w:type="spellEnd"/>
      <w:r w:rsidRPr="00373374">
        <w:rPr>
          <w:sz w:val="22"/>
          <w:szCs w:val="22"/>
        </w:rPr>
        <w:t xml:space="preserve"> and the Department’s MWC Rule (pursuant to Subpart </w:t>
      </w:r>
      <w:proofErr w:type="spellStart"/>
      <w:r w:rsidRPr="00373374">
        <w:rPr>
          <w:sz w:val="22"/>
          <w:szCs w:val="22"/>
        </w:rPr>
        <w:t>Cb</w:t>
      </w:r>
      <w:proofErr w:type="spellEnd"/>
      <w:r w:rsidRPr="00373374">
        <w:rPr>
          <w:sz w:val="22"/>
          <w:szCs w:val="22"/>
        </w:rPr>
        <w:t>) and the matter of location is not controlling with respect to regulation pursuant to Subpart LLLL or MMMM or “another subpart (e.g. subpart CCCC of this part)”.  It is not necessary to prove or disprove the location of the four MWC’s at the Hillsborough County RRF vi</w:t>
      </w:r>
      <w:r w:rsidR="00746948" w:rsidRPr="00373374">
        <w:rPr>
          <w:sz w:val="22"/>
          <w:szCs w:val="22"/>
        </w:rPr>
        <w:t>s</w:t>
      </w:r>
      <w:r w:rsidRPr="00373374">
        <w:rPr>
          <w:sz w:val="22"/>
          <w:szCs w:val="22"/>
        </w:rPr>
        <w:t>-</w:t>
      </w:r>
      <w:r w:rsidR="00746948" w:rsidRPr="00373374">
        <w:rPr>
          <w:sz w:val="22"/>
          <w:szCs w:val="22"/>
        </w:rPr>
        <w:t>à</w:t>
      </w:r>
      <w:r w:rsidRPr="00373374">
        <w:rPr>
          <w:sz w:val="22"/>
          <w:szCs w:val="22"/>
        </w:rPr>
        <w:t>-vi</w:t>
      </w:r>
      <w:r w:rsidR="00746948" w:rsidRPr="00373374">
        <w:rPr>
          <w:sz w:val="22"/>
          <w:szCs w:val="22"/>
        </w:rPr>
        <w:t>s</w:t>
      </w:r>
      <w:r w:rsidRPr="00373374">
        <w:rPr>
          <w:sz w:val="22"/>
          <w:szCs w:val="22"/>
        </w:rPr>
        <w:t xml:space="preserve"> the WWTP’s to be exempt from the emission standards and guideline</w:t>
      </w:r>
      <w:r w:rsidR="00746948" w:rsidRPr="00373374">
        <w:rPr>
          <w:sz w:val="22"/>
          <w:szCs w:val="22"/>
        </w:rPr>
        <w:t>s</w:t>
      </w:r>
      <w:r w:rsidRPr="00373374">
        <w:rPr>
          <w:sz w:val="22"/>
          <w:szCs w:val="22"/>
        </w:rPr>
        <w:t xml:space="preserve"> contained in Subparts LLLL and MMMM.</w:t>
      </w:r>
    </w:p>
    <w:p w:rsidR="009C2C18" w:rsidRPr="00373374" w:rsidRDefault="009C2C18" w:rsidP="009C2C18">
      <w:pPr>
        <w:autoSpaceDE w:val="0"/>
        <w:autoSpaceDN w:val="0"/>
        <w:adjustRightInd w:val="0"/>
        <w:spacing w:after="120"/>
        <w:rPr>
          <w:sz w:val="22"/>
          <w:szCs w:val="22"/>
        </w:rPr>
      </w:pPr>
      <w:r w:rsidRPr="00373374">
        <w:rPr>
          <w:sz w:val="22"/>
          <w:szCs w:val="22"/>
        </w:rPr>
        <w:t xml:space="preserve">Subpart MMMM (Emission Guidelines and Compliance Times) require submittal of plans by states in accordance of CAA Section 111(d).  The Department submitted its plan pursuant to CAA Sections 111 and 129 on April 16, 2012 for incorporation by EPA into 40 CFR 62, Subpart K.  The details are available at the Department regulatory webpage for this effort available at:  </w:t>
      </w:r>
      <w:hyperlink r:id="rId41" w:history="1">
        <w:r w:rsidRPr="00373374">
          <w:rPr>
            <w:rStyle w:val="Hyperlink"/>
            <w:sz w:val="22"/>
            <w:szCs w:val="22"/>
          </w:rPr>
          <w:t>Link to Department's Sewage Sludge Incinerator Plan</w:t>
        </w:r>
      </w:hyperlink>
      <w:r w:rsidRPr="00373374">
        <w:rPr>
          <w:sz w:val="22"/>
          <w:szCs w:val="22"/>
        </w:rPr>
        <w:t xml:space="preserve"> </w:t>
      </w:r>
    </w:p>
    <w:p w:rsidR="009C2C18" w:rsidRPr="00373374" w:rsidRDefault="009C2C18" w:rsidP="009C2C18">
      <w:pPr>
        <w:spacing w:after="120"/>
        <w:rPr>
          <w:sz w:val="22"/>
          <w:szCs w:val="22"/>
        </w:rPr>
      </w:pPr>
      <w:r w:rsidRPr="00373374">
        <w:rPr>
          <w:sz w:val="22"/>
          <w:szCs w:val="22"/>
        </w:rPr>
        <w:t xml:space="preserve">The proposed Plan includes an issued air construction permit for Florida's only identified existing SSI unit subject to Subpart MMMM.  The unit is a biosolids gasification facility with a capacity </w:t>
      </w:r>
      <w:proofErr w:type="gramStart"/>
      <w:r w:rsidRPr="00373374">
        <w:rPr>
          <w:sz w:val="22"/>
          <w:szCs w:val="22"/>
        </w:rPr>
        <w:t>of 80 wet tons/day</w:t>
      </w:r>
      <w:proofErr w:type="gramEnd"/>
      <w:r w:rsidRPr="00373374">
        <w:rPr>
          <w:sz w:val="22"/>
          <w:szCs w:val="22"/>
        </w:rPr>
        <w:t xml:space="preserve">.  It is operated by </w:t>
      </w:r>
      <w:proofErr w:type="spellStart"/>
      <w:r w:rsidRPr="00373374">
        <w:rPr>
          <w:sz w:val="22"/>
          <w:szCs w:val="22"/>
        </w:rPr>
        <w:t>Maxwest</w:t>
      </w:r>
      <w:proofErr w:type="spellEnd"/>
      <w:r w:rsidRPr="00373374">
        <w:rPr>
          <w:sz w:val="22"/>
          <w:szCs w:val="22"/>
        </w:rPr>
        <w:t xml:space="preserve"> and is located at the Sanford South Water Resources Center in Sanford, Florida.  The construction permit comprises Florida’s Plan as it incorporates as permit conditions all of the Emission Guidelines in Subpart MMMM.</w:t>
      </w:r>
    </w:p>
    <w:p w:rsidR="009C2C18" w:rsidRPr="00373374" w:rsidRDefault="009C2C18" w:rsidP="009C2C18">
      <w:pPr>
        <w:spacing w:after="120"/>
        <w:rPr>
          <w:sz w:val="22"/>
          <w:szCs w:val="22"/>
        </w:rPr>
      </w:pPr>
      <w:r w:rsidRPr="00373374">
        <w:rPr>
          <w:sz w:val="22"/>
          <w:szCs w:val="22"/>
        </w:rPr>
        <w:t>The Hillsborough County RRF and other RRF’s capable of co-firing at the least some small amounts of sewage sludge were not identified in the Plan and at first impression are not subject to Subpart MMMM.  For example, (prior to issuance of this draft permit) the four units are specifically prohibited from burning sewage sludge and are designed for the purpose of burning MSW with energy recovery and power generation.  However, if they do co-fire sewage sludge</w:t>
      </w:r>
      <w:r w:rsidR="005D076F" w:rsidRPr="00373374">
        <w:rPr>
          <w:sz w:val="22"/>
          <w:szCs w:val="22"/>
        </w:rPr>
        <w:t xml:space="preserve"> and function to some extent as SSI units</w:t>
      </w:r>
      <w:r w:rsidRPr="00373374">
        <w:rPr>
          <w:sz w:val="22"/>
          <w:szCs w:val="22"/>
        </w:rPr>
        <w:t xml:space="preserve">, they are properly </w:t>
      </w:r>
      <w:r w:rsidR="005D076F" w:rsidRPr="00373374">
        <w:rPr>
          <w:sz w:val="22"/>
          <w:szCs w:val="22"/>
        </w:rPr>
        <w:t xml:space="preserve">covered under Subpart EB or the Department MWC Rule (pursuant to Subpart </w:t>
      </w:r>
      <w:proofErr w:type="spellStart"/>
      <w:r w:rsidR="005D076F" w:rsidRPr="00373374">
        <w:rPr>
          <w:sz w:val="22"/>
          <w:szCs w:val="22"/>
        </w:rPr>
        <w:t>Cb</w:t>
      </w:r>
      <w:proofErr w:type="spellEnd"/>
      <w:r w:rsidR="005D076F" w:rsidRPr="00373374">
        <w:rPr>
          <w:sz w:val="22"/>
          <w:szCs w:val="22"/>
        </w:rPr>
        <w:t>).</w:t>
      </w:r>
    </w:p>
    <w:p w:rsidR="00F45B06" w:rsidRPr="00373374" w:rsidRDefault="00F45B06" w:rsidP="00892794">
      <w:pPr>
        <w:spacing w:after="120"/>
        <w:rPr>
          <w:sz w:val="22"/>
          <w:szCs w:val="22"/>
        </w:rPr>
      </w:pPr>
      <w:r w:rsidRPr="00373374">
        <w:rPr>
          <w:sz w:val="22"/>
          <w:szCs w:val="22"/>
        </w:rPr>
        <w:t xml:space="preserve">The definition of modification as applicable to regulations developed under the CAA Section 111 is </w:t>
      </w:r>
      <w:r w:rsidR="003F2CEC" w:rsidRPr="00373374">
        <w:rPr>
          <w:sz w:val="22"/>
          <w:szCs w:val="22"/>
        </w:rPr>
        <w:t xml:space="preserve">provided at 40 CFR 60, §60.2 </w:t>
      </w:r>
      <w:r w:rsidRPr="00373374">
        <w:rPr>
          <w:sz w:val="22"/>
          <w:szCs w:val="22"/>
        </w:rPr>
        <w:t>as follows:</w:t>
      </w:r>
    </w:p>
    <w:p w:rsidR="00F45B06" w:rsidRPr="00373374" w:rsidRDefault="003F2CEC" w:rsidP="003F2CEC">
      <w:pPr>
        <w:spacing w:after="120"/>
        <w:ind w:left="360" w:right="324"/>
        <w:jc w:val="both"/>
        <w:rPr>
          <w:i/>
          <w:sz w:val="22"/>
          <w:szCs w:val="22"/>
        </w:rPr>
      </w:pPr>
      <w:r w:rsidRPr="00373374">
        <w:rPr>
          <w:i/>
          <w:iCs/>
          <w:sz w:val="22"/>
          <w:szCs w:val="22"/>
        </w:rPr>
        <w:t>“Modification</w:t>
      </w:r>
      <w:r w:rsidRPr="00373374">
        <w:rPr>
          <w:i/>
          <w:sz w:val="22"/>
          <w:szCs w:val="22"/>
        </w:rPr>
        <w:t xml:space="preserve"> means any physical change in, or change in the method of operation of, an existing facility which increases the amount of any air pollutant (to which a standard applies) emitted into the atmosphere by that facility or which results in the emission of any air pollutant (to which a standard applies) into the atmosphere not previously emitted”.</w:t>
      </w:r>
    </w:p>
    <w:p w:rsidR="003F2CEC" w:rsidRPr="00373374" w:rsidRDefault="005D076F" w:rsidP="00892794">
      <w:pPr>
        <w:spacing w:after="120"/>
        <w:rPr>
          <w:sz w:val="22"/>
          <w:szCs w:val="22"/>
        </w:rPr>
      </w:pPr>
      <w:r w:rsidRPr="00373374">
        <w:rPr>
          <w:sz w:val="22"/>
          <w:szCs w:val="22"/>
        </w:rPr>
        <w:t>T</w:t>
      </w:r>
      <w:r w:rsidR="003F2CEC" w:rsidRPr="00373374">
        <w:rPr>
          <w:sz w:val="22"/>
          <w:szCs w:val="22"/>
        </w:rPr>
        <w:t xml:space="preserve">he Department notes that no physical or operational changes (other than removal of a permit prohibition and receipt of the material) are required to co-fire </w:t>
      </w:r>
      <w:r w:rsidR="00746948" w:rsidRPr="00373374">
        <w:rPr>
          <w:sz w:val="22"/>
          <w:szCs w:val="22"/>
        </w:rPr>
        <w:t>5</w:t>
      </w:r>
      <w:r w:rsidR="003F2CEC" w:rsidRPr="00373374">
        <w:rPr>
          <w:sz w:val="22"/>
          <w:szCs w:val="22"/>
        </w:rPr>
        <w:t xml:space="preserve">% biosolids (dewatered sewage sludge).  </w:t>
      </w:r>
    </w:p>
    <w:p w:rsidR="003F2CEC" w:rsidRPr="00373374" w:rsidRDefault="003F2CEC" w:rsidP="00892794">
      <w:pPr>
        <w:spacing w:after="120"/>
        <w:rPr>
          <w:sz w:val="22"/>
          <w:szCs w:val="22"/>
        </w:rPr>
      </w:pPr>
      <w:r w:rsidRPr="00373374">
        <w:rPr>
          <w:sz w:val="22"/>
          <w:szCs w:val="22"/>
        </w:rPr>
        <w:t xml:space="preserve">40 CFR 60, §60.14 further </w:t>
      </w:r>
      <w:proofErr w:type="gramStart"/>
      <w:r w:rsidR="007329A5" w:rsidRPr="00373374">
        <w:rPr>
          <w:sz w:val="22"/>
          <w:szCs w:val="22"/>
        </w:rPr>
        <w:t>defines</w:t>
      </w:r>
      <w:proofErr w:type="gramEnd"/>
      <w:r w:rsidR="007329A5" w:rsidRPr="00373374">
        <w:rPr>
          <w:sz w:val="22"/>
          <w:szCs w:val="22"/>
        </w:rPr>
        <w:t xml:space="preserve"> </w:t>
      </w:r>
      <w:r w:rsidRPr="00373374">
        <w:rPr>
          <w:sz w:val="22"/>
          <w:szCs w:val="22"/>
        </w:rPr>
        <w:t>the meaning of modification as follows:</w:t>
      </w:r>
    </w:p>
    <w:p w:rsidR="003F2CEC" w:rsidRPr="00373374" w:rsidRDefault="003F2CEC" w:rsidP="003F2CEC">
      <w:pPr>
        <w:pStyle w:val="ListParagraph"/>
        <w:numPr>
          <w:ilvl w:val="2"/>
          <w:numId w:val="15"/>
        </w:numPr>
        <w:spacing w:after="120"/>
        <w:ind w:left="720" w:right="324"/>
        <w:jc w:val="both"/>
        <w:rPr>
          <w:i/>
          <w:iCs/>
          <w:sz w:val="22"/>
          <w:szCs w:val="22"/>
        </w:rPr>
      </w:pPr>
      <w:r w:rsidRPr="00373374">
        <w:rPr>
          <w:i/>
          <w:iCs/>
          <w:sz w:val="22"/>
          <w:szCs w:val="22"/>
        </w:rPr>
        <w:t>Emission rate shall be expressed as kilograms per hour (kg/h</w:t>
      </w:r>
      <w:r w:rsidR="000E56C4" w:rsidRPr="00373374">
        <w:rPr>
          <w:i/>
          <w:iCs/>
          <w:sz w:val="22"/>
          <w:szCs w:val="22"/>
        </w:rPr>
        <w:t>ou</w:t>
      </w:r>
      <w:r w:rsidRPr="00373374">
        <w:rPr>
          <w:i/>
          <w:iCs/>
          <w:sz w:val="22"/>
          <w:szCs w:val="22"/>
        </w:rPr>
        <w:t xml:space="preserve">r) of any pollutant discharged into the atmosphere for which a standard is applicable. </w:t>
      </w:r>
    </w:p>
    <w:p w:rsidR="000965E1" w:rsidRPr="00373374" w:rsidRDefault="000E56C4" w:rsidP="00892794">
      <w:pPr>
        <w:spacing w:after="120"/>
        <w:rPr>
          <w:sz w:val="22"/>
          <w:szCs w:val="22"/>
        </w:rPr>
      </w:pPr>
      <w:r w:rsidRPr="00373374">
        <w:rPr>
          <w:sz w:val="22"/>
          <w:szCs w:val="22"/>
        </w:rPr>
        <w:t xml:space="preserve">The kg/hour emission rate basis for determining a modification under the NSPS regulations is in contrast to the tons/year emission rate basis for determining a modification under the PSD regulations.  It is plausible that there would be no short term emission increase </w:t>
      </w:r>
      <w:r w:rsidR="000965E1" w:rsidRPr="00373374">
        <w:rPr>
          <w:sz w:val="22"/>
          <w:szCs w:val="22"/>
        </w:rPr>
        <w:t xml:space="preserve">even if there is a long term increase.  Basically the condition is that occasionally a given unit could emit at its short-term emission limit under one condition and (after the change) emit at the emission limit more often.  The applicant did not attempt to show that short-term </w:t>
      </w:r>
      <w:proofErr w:type="gramStart"/>
      <w:r w:rsidR="000965E1" w:rsidRPr="00373374">
        <w:rPr>
          <w:sz w:val="22"/>
          <w:szCs w:val="22"/>
        </w:rPr>
        <w:t>emission do</w:t>
      </w:r>
      <w:proofErr w:type="gramEnd"/>
      <w:r w:rsidR="000965E1" w:rsidRPr="00373374">
        <w:rPr>
          <w:sz w:val="22"/>
          <w:szCs w:val="22"/>
        </w:rPr>
        <w:t xml:space="preserve"> not increase.</w:t>
      </w:r>
    </w:p>
    <w:p w:rsidR="000965E1" w:rsidRPr="00373374" w:rsidRDefault="000965E1" w:rsidP="00892794">
      <w:pPr>
        <w:spacing w:after="120"/>
        <w:rPr>
          <w:sz w:val="22"/>
          <w:szCs w:val="22"/>
        </w:rPr>
      </w:pPr>
      <w:r w:rsidRPr="00373374">
        <w:rPr>
          <w:sz w:val="22"/>
          <w:szCs w:val="22"/>
        </w:rPr>
        <w:t>According to 40 CFR 60, §60.14(e) the following shall not be considered a modification:</w:t>
      </w:r>
    </w:p>
    <w:p w:rsidR="000965E1" w:rsidRPr="00373374" w:rsidRDefault="000965E1" w:rsidP="000965E1">
      <w:pPr>
        <w:pStyle w:val="ListParagraph"/>
        <w:numPr>
          <w:ilvl w:val="0"/>
          <w:numId w:val="39"/>
        </w:numPr>
        <w:spacing w:after="120"/>
        <w:ind w:right="324"/>
        <w:jc w:val="both"/>
        <w:rPr>
          <w:i/>
          <w:sz w:val="22"/>
          <w:szCs w:val="22"/>
        </w:rPr>
      </w:pPr>
      <w:r w:rsidRPr="00373374">
        <w:rPr>
          <w:i/>
          <w:sz w:val="22"/>
          <w:szCs w:val="22"/>
        </w:rPr>
        <w:t xml:space="preserve">Use of an alternative fuel or raw material if, prior to the date any standard under this part becomes applicable to that source type, as provided by § 60.1, the existing facility was designed to accommodate that alternative use. A facility shall be considered to be designed to accommodate an alternative fuel or raw material </w:t>
      </w:r>
      <w:r w:rsidRPr="00373374">
        <w:rPr>
          <w:b/>
          <w:i/>
          <w:sz w:val="22"/>
          <w:szCs w:val="22"/>
        </w:rPr>
        <w:t>if that use could be accomplished under the facility's construction specifications</w:t>
      </w:r>
      <w:r w:rsidRPr="00373374">
        <w:rPr>
          <w:i/>
          <w:sz w:val="22"/>
          <w:szCs w:val="22"/>
        </w:rPr>
        <w:t xml:space="preserve"> as amended prior to the change.</w:t>
      </w:r>
    </w:p>
    <w:p w:rsidR="00373374" w:rsidRPr="00373374" w:rsidRDefault="000965E1" w:rsidP="007436D4">
      <w:pPr>
        <w:spacing w:after="120"/>
        <w:rPr>
          <w:b/>
          <w:i/>
          <w:sz w:val="22"/>
          <w:szCs w:val="22"/>
        </w:rPr>
      </w:pPr>
      <w:r w:rsidRPr="00373374">
        <w:rPr>
          <w:sz w:val="22"/>
          <w:szCs w:val="22"/>
        </w:rPr>
        <w:t xml:space="preserve">The project meets the test in that </w:t>
      </w:r>
      <w:r w:rsidR="007329A5" w:rsidRPr="00373374">
        <w:rPr>
          <w:sz w:val="22"/>
          <w:szCs w:val="22"/>
        </w:rPr>
        <w:t xml:space="preserve">mixing and co-firing </w:t>
      </w:r>
      <w:r w:rsidR="00746948" w:rsidRPr="00373374">
        <w:rPr>
          <w:sz w:val="22"/>
          <w:szCs w:val="22"/>
        </w:rPr>
        <w:t>5</w:t>
      </w:r>
      <w:r w:rsidRPr="00373374">
        <w:rPr>
          <w:sz w:val="22"/>
          <w:szCs w:val="22"/>
        </w:rPr>
        <w:t xml:space="preserve">% biosolids </w:t>
      </w:r>
      <w:r w:rsidR="007329A5" w:rsidRPr="00373374">
        <w:rPr>
          <w:sz w:val="22"/>
          <w:szCs w:val="22"/>
        </w:rPr>
        <w:t xml:space="preserve">with the rest of the allowable wastes and fuels </w:t>
      </w:r>
      <w:r w:rsidRPr="00373374">
        <w:rPr>
          <w:sz w:val="22"/>
          <w:szCs w:val="22"/>
        </w:rPr>
        <w:t>can be accomplished now and could have been accomplished under the original construction specifications (but for the prohibition on use of sewage sludge).</w:t>
      </w:r>
      <w:r w:rsidR="00CD7EC7" w:rsidRPr="00373374">
        <w:rPr>
          <w:sz w:val="22"/>
          <w:szCs w:val="22"/>
        </w:rPr>
        <w:t xml:space="preserve">  Therefore</w:t>
      </w:r>
      <w:r w:rsidR="003B4E2E" w:rsidRPr="00373374">
        <w:rPr>
          <w:sz w:val="22"/>
          <w:szCs w:val="22"/>
        </w:rPr>
        <w:t>,</w:t>
      </w:r>
      <w:r w:rsidR="00CD7EC7" w:rsidRPr="00373374">
        <w:rPr>
          <w:sz w:val="22"/>
          <w:szCs w:val="22"/>
        </w:rPr>
        <w:t xml:space="preserve"> even if the four MWC’s were SSI units (which the Department concludes they are not), the project would not be considered a modification such that the units would be subject to 40 CFR 60, Subpart LLLL.</w:t>
      </w:r>
      <w:r w:rsidR="00373374" w:rsidRPr="00373374">
        <w:rPr>
          <w:b/>
          <w:i/>
          <w:sz w:val="22"/>
          <w:szCs w:val="22"/>
        </w:rPr>
        <w:br w:type="page"/>
      </w:r>
    </w:p>
    <w:p w:rsidR="00F3331C" w:rsidRPr="00373374" w:rsidRDefault="00F3331C" w:rsidP="00F3331C">
      <w:pPr>
        <w:spacing w:after="120"/>
        <w:rPr>
          <w:b/>
          <w:i/>
          <w:sz w:val="22"/>
          <w:szCs w:val="22"/>
        </w:rPr>
      </w:pPr>
      <w:r w:rsidRPr="00373374">
        <w:rPr>
          <w:b/>
          <w:i/>
          <w:sz w:val="22"/>
          <w:szCs w:val="22"/>
        </w:rPr>
        <w:lastRenderedPageBreak/>
        <w:t xml:space="preserve">40 CFR 60, Subpart Eb and </w:t>
      </w:r>
      <w:proofErr w:type="gramStart"/>
      <w:r w:rsidRPr="00373374">
        <w:rPr>
          <w:b/>
          <w:i/>
          <w:sz w:val="22"/>
          <w:szCs w:val="22"/>
        </w:rPr>
        <w:t>The</w:t>
      </w:r>
      <w:proofErr w:type="gramEnd"/>
      <w:r w:rsidRPr="00373374">
        <w:rPr>
          <w:b/>
          <w:i/>
          <w:sz w:val="22"/>
          <w:szCs w:val="22"/>
        </w:rPr>
        <w:t xml:space="preserve"> Department</w:t>
      </w:r>
      <w:r w:rsidR="00CE281A" w:rsidRPr="00373374">
        <w:rPr>
          <w:b/>
          <w:i/>
          <w:sz w:val="22"/>
          <w:szCs w:val="22"/>
        </w:rPr>
        <w:t>’s</w:t>
      </w:r>
      <w:r w:rsidRPr="00373374">
        <w:rPr>
          <w:b/>
          <w:i/>
          <w:sz w:val="22"/>
          <w:szCs w:val="22"/>
        </w:rPr>
        <w:t xml:space="preserve"> MWC Rule</w:t>
      </w:r>
      <w:r w:rsidR="00CE281A" w:rsidRPr="00373374">
        <w:rPr>
          <w:b/>
          <w:i/>
          <w:sz w:val="22"/>
          <w:szCs w:val="22"/>
        </w:rPr>
        <w:t xml:space="preserve"> (pursuant to 40 CFR 60, Subpart Cb)</w:t>
      </w:r>
    </w:p>
    <w:p w:rsidR="00CE281A" w:rsidRPr="00373374" w:rsidRDefault="001B45E7" w:rsidP="00755059">
      <w:pPr>
        <w:spacing w:after="60"/>
        <w:rPr>
          <w:sz w:val="22"/>
          <w:szCs w:val="22"/>
        </w:rPr>
      </w:pPr>
      <w:r w:rsidRPr="00373374">
        <w:rPr>
          <w:sz w:val="22"/>
          <w:szCs w:val="22"/>
        </w:rPr>
        <w:t xml:space="preserve">The combustion of biosolids (treated sewage sludge) in Hillsborough </w:t>
      </w:r>
      <w:r w:rsidR="002B41B0" w:rsidRPr="00373374">
        <w:rPr>
          <w:sz w:val="22"/>
          <w:szCs w:val="22"/>
        </w:rPr>
        <w:t xml:space="preserve">County </w:t>
      </w:r>
      <w:r w:rsidRPr="00373374">
        <w:rPr>
          <w:sz w:val="22"/>
          <w:szCs w:val="22"/>
        </w:rPr>
        <w:t>RRF will not affect the applicabi</w:t>
      </w:r>
      <w:r w:rsidR="00B878B8" w:rsidRPr="00373374">
        <w:rPr>
          <w:sz w:val="22"/>
          <w:szCs w:val="22"/>
        </w:rPr>
        <w:t xml:space="preserve">lity of </w:t>
      </w:r>
      <w:r w:rsidR="00F3331C" w:rsidRPr="00373374">
        <w:rPr>
          <w:sz w:val="22"/>
          <w:szCs w:val="22"/>
        </w:rPr>
        <w:t xml:space="preserve">the Department MWC Rule (pursuant to </w:t>
      </w:r>
      <w:r w:rsidR="00B878B8" w:rsidRPr="00373374">
        <w:rPr>
          <w:sz w:val="22"/>
          <w:szCs w:val="22"/>
        </w:rPr>
        <w:t>40 CFR 60, Subpart Cb</w:t>
      </w:r>
      <w:r w:rsidR="00F3331C" w:rsidRPr="00373374">
        <w:rPr>
          <w:sz w:val="22"/>
          <w:szCs w:val="22"/>
        </w:rPr>
        <w:t>)</w:t>
      </w:r>
      <w:r w:rsidR="00B878B8" w:rsidRPr="00373374">
        <w:rPr>
          <w:sz w:val="22"/>
          <w:szCs w:val="22"/>
        </w:rPr>
        <w:t xml:space="preserve"> for </w:t>
      </w:r>
      <w:r w:rsidR="005D75E9" w:rsidRPr="00373374">
        <w:rPr>
          <w:sz w:val="22"/>
          <w:szCs w:val="22"/>
        </w:rPr>
        <w:t>Units 1, 2 and</w:t>
      </w:r>
      <w:r w:rsidRPr="00373374">
        <w:rPr>
          <w:sz w:val="22"/>
          <w:szCs w:val="22"/>
        </w:rPr>
        <w:t xml:space="preserve"> 3 </w:t>
      </w:r>
      <w:r w:rsidR="00B878B8" w:rsidRPr="00373374">
        <w:rPr>
          <w:sz w:val="22"/>
          <w:szCs w:val="22"/>
        </w:rPr>
        <w:t xml:space="preserve">and </w:t>
      </w:r>
      <w:r w:rsidR="00300B0E" w:rsidRPr="00373374">
        <w:rPr>
          <w:sz w:val="22"/>
          <w:szCs w:val="22"/>
        </w:rPr>
        <w:t xml:space="preserve">the applicability of </w:t>
      </w:r>
      <w:r w:rsidR="00B878B8" w:rsidRPr="00373374">
        <w:rPr>
          <w:sz w:val="22"/>
          <w:szCs w:val="22"/>
        </w:rPr>
        <w:t xml:space="preserve">40 CFR 60, Subpart Eb for Unit 4.  There will be no physical modification to the </w:t>
      </w:r>
      <w:r w:rsidR="00373374" w:rsidRPr="00373374">
        <w:rPr>
          <w:sz w:val="22"/>
          <w:szCs w:val="22"/>
        </w:rPr>
        <w:t xml:space="preserve">Hillsborough County </w:t>
      </w:r>
      <w:r w:rsidR="00B878B8" w:rsidRPr="00373374">
        <w:rPr>
          <w:sz w:val="22"/>
          <w:szCs w:val="22"/>
        </w:rPr>
        <w:t xml:space="preserve">RRF.  </w:t>
      </w:r>
      <w:r w:rsidR="00F3331C" w:rsidRPr="00373374">
        <w:rPr>
          <w:sz w:val="22"/>
          <w:szCs w:val="22"/>
        </w:rPr>
        <w:t xml:space="preserve">Burning of MSW makes these units subject to the two regulations.  While sewage sludge is not MSW according to the definitions in Subpart Eb, combustion of such material </w:t>
      </w:r>
      <w:r w:rsidR="00CE281A" w:rsidRPr="00373374">
        <w:rPr>
          <w:sz w:val="22"/>
          <w:szCs w:val="22"/>
        </w:rPr>
        <w:t>at the level proposed by the applicant is not prohibited by the rule and would not change the fact that these rules will continue to apply.</w:t>
      </w:r>
    </w:p>
    <w:p w:rsidR="00136167" w:rsidRPr="00373374" w:rsidRDefault="00136167" w:rsidP="00136167">
      <w:pPr>
        <w:spacing w:after="120"/>
        <w:rPr>
          <w:b/>
          <w:i/>
          <w:sz w:val="22"/>
          <w:szCs w:val="22"/>
        </w:rPr>
      </w:pPr>
      <w:r w:rsidRPr="00373374">
        <w:rPr>
          <w:b/>
          <w:i/>
          <w:sz w:val="22"/>
          <w:szCs w:val="22"/>
        </w:rPr>
        <w:t>40 CFR 61, Subpart E</w:t>
      </w:r>
      <w:r w:rsidR="001B37A7" w:rsidRPr="00373374">
        <w:rPr>
          <w:b/>
          <w:i/>
          <w:sz w:val="22"/>
          <w:szCs w:val="22"/>
        </w:rPr>
        <w:t>-</w:t>
      </w:r>
      <w:r w:rsidRPr="00373374">
        <w:rPr>
          <w:b/>
          <w:i/>
          <w:sz w:val="22"/>
          <w:szCs w:val="22"/>
        </w:rPr>
        <w:t>National Emission Standard for Mercury</w:t>
      </w:r>
    </w:p>
    <w:p w:rsidR="00136167" w:rsidRPr="00373374" w:rsidRDefault="00EC069E" w:rsidP="00EC069E">
      <w:pPr>
        <w:spacing w:after="60"/>
        <w:rPr>
          <w:sz w:val="22"/>
          <w:szCs w:val="22"/>
        </w:rPr>
      </w:pPr>
      <w:r w:rsidRPr="00373374">
        <w:rPr>
          <w:sz w:val="22"/>
          <w:szCs w:val="22"/>
        </w:rPr>
        <w:t xml:space="preserve">According to 40 CFR 61, Subpart E, </w:t>
      </w:r>
      <w:r w:rsidR="00136167" w:rsidRPr="00373374">
        <w:rPr>
          <w:sz w:val="22"/>
          <w:szCs w:val="22"/>
        </w:rPr>
        <w:t>§61.50</w:t>
      </w:r>
      <w:r w:rsidRPr="00373374">
        <w:rPr>
          <w:sz w:val="22"/>
          <w:szCs w:val="22"/>
        </w:rPr>
        <w:t xml:space="preserve">, </w:t>
      </w:r>
      <w:r w:rsidR="00136167" w:rsidRPr="00373374">
        <w:rPr>
          <w:sz w:val="22"/>
          <w:szCs w:val="22"/>
        </w:rPr>
        <w:t>Applicability</w:t>
      </w:r>
      <w:r w:rsidRPr="00373374">
        <w:rPr>
          <w:sz w:val="22"/>
          <w:szCs w:val="22"/>
        </w:rPr>
        <w:t>:</w:t>
      </w:r>
    </w:p>
    <w:p w:rsidR="00136167" w:rsidRPr="00373374" w:rsidRDefault="00136167" w:rsidP="00E968A5">
      <w:pPr>
        <w:spacing w:after="120"/>
        <w:ind w:left="360" w:right="360"/>
        <w:jc w:val="both"/>
        <w:rPr>
          <w:i/>
          <w:sz w:val="22"/>
          <w:szCs w:val="22"/>
        </w:rPr>
      </w:pPr>
      <w:r w:rsidRPr="00373374">
        <w:rPr>
          <w:i/>
          <w:sz w:val="22"/>
          <w:szCs w:val="22"/>
        </w:rPr>
        <w:t xml:space="preserve">The provisions of this subpart are applicable to those stationary sources which process mercury ore to recover mercury, use mercury chlor-alkali cells to produce chlorine gas and alkali metal hydroxide, and </w:t>
      </w:r>
      <w:r w:rsidRPr="00373374">
        <w:rPr>
          <w:b/>
          <w:i/>
          <w:sz w:val="22"/>
          <w:szCs w:val="22"/>
        </w:rPr>
        <w:t>incinerate or dry wastewater treatment plant sludge</w:t>
      </w:r>
      <w:r w:rsidRPr="00373374">
        <w:rPr>
          <w:i/>
          <w:sz w:val="22"/>
          <w:szCs w:val="22"/>
        </w:rPr>
        <w:t>.</w:t>
      </w:r>
      <w:r w:rsidR="00E968A5" w:rsidRPr="00373374">
        <w:rPr>
          <w:i/>
          <w:sz w:val="22"/>
          <w:szCs w:val="22"/>
        </w:rPr>
        <w:t xml:space="preserve">  </w:t>
      </w:r>
      <w:hyperlink r:id="rId42" w:history="1">
        <w:r w:rsidR="00E968A5" w:rsidRPr="00373374">
          <w:rPr>
            <w:rStyle w:val="Hyperlink"/>
            <w:sz w:val="22"/>
            <w:szCs w:val="22"/>
          </w:rPr>
          <w:t>Link to 40 CFR 61, Subpart E</w:t>
        </w:r>
      </w:hyperlink>
      <w:r w:rsidR="00E968A5" w:rsidRPr="00373374">
        <w:rPr>
          <w:sz w:val="22"/>
          <w:szCs w:val="22"/>
        </w:rPr>
        <w:t xml:space="preserve">  </w:t>
      </w:r>
    </w:p>
    <w:p w:rsidR="00E968A5" w:rsidRPr="00373374" w:rsidRDefault="00EC069E" w:rsidP="00E968A5">
      <w:pPr>
        <w:spacing w:after="120"/>
        <w:rPr>
          <w:sz w:val="22"/>
          <w:szCs w:val="22"/>
        </w:rPr>
      </w:pPr>
      <w:r w:rsidRPr="00373374">
        <w:rPr>
          <w:sz w:val="22"/>
          <w:szCs w:val="22"/>
        </w:rPr>
        <w:t>Upon commencement of biosolids waste use, the four MWC</w:t>
      </w:r>
      <w:r w:rsidR="007F7ACE" w:rsidRPr="00373374">
        <w:rPr>
          <w:sz w:val="22"/>
          <w:szCs w:val="22"/>
        </w:rPr>
        <w:t>’s</w:t>
      </w:r>
      <w:r w:rsidRPr="00373374">
        <w:rPr>
          <w:sz w:val="22"/>
          <w:szCs w:val="22"/>
        </w:rPr>
        <w:t xml:space="preserve"> will be subject to </w:t>
      </w:r>
      <w:r w:rsidR="00E968A5" w:rsidRPr="00373374">
        <w:rPr>
          <w:sz w:val="22"/>
          <w:szCs w:val="22"/>
        </w:rPr>
        <w:t xml:space="preserve">the following </w:t>
      </w:r>
      <w:r w:rsidRPr="00373374">
        <w:rPr>
          <w:sz w:val="22"/>
          <w:szCs w:val="22"/>
        </w:rPr>
        <w:t>Subpart E</w:t>
      </w:r>
      <w:r w:rsidR="00E968A5" w:rsidRPr="00373374">
        <w:rPr>
          <w:sz w:val="22"/>
          <w:szCs w:val="22"/>
        </w:rPr>
        <w:t>, §61.52(b), Emission Standard:</w:t>
      </w:r>
    </w:p>
    <w:p w:rsidR="00E968A5" w:rsidRPr="00373374" w:rsidRDefault="00E968A5" w:rsidP="00E968A5">
      <w:pPr>
        <w:spacing w:after="120"/>
        <w:ind w:left="360" w:right="360"/>
        <w:jc w:val="both"/>
        <w:rPr>
          <w:i/>
          <w:sz w:val="22"/>
          <w:szCs w:val="22"/>
        </w:rPr>
      </w:pPr>
      <w:r w:rsidRPr="00373374">
        <w:rPr>
          <w:i/>
          <w:sz w:val="22"/>
          <w:szCs w:val="22"/>
        </w:rPr>
        <w:t xml:space="preserve">Emissions to the atmosphere from sludge incineration plants, sludge drying plants, or a combination of these that process wastewater treatment plant sludges </w:t>
      </w:r>
      <w:r w:rsidRPr="00373374">
        <w:rPr>
          <w:b/>
          <w:i/>
          <w:sz w:val="22"/>
          <w:szCs w:val="22"/>
        </w:rPr>
        <w:t xml:space="preserve">shall not exceed 3.2 kg (7.1 lb) of mercury per </w:t>
      </w:r>
      <w:r w:rsidRPr="00373374">
        <w:rPr>
          <w:b/>
          <w:i/>
          <w:sz w:val="22"/>
          <w:szCs w:val="22"/>
        </w:rPr>
        <w:br/>
        <w:t>24-hour period</w:t>
      </w:r>
      <w:r w:rsidRPr="00373374">
        <w:rPr>
          <w:i/>
          <w:sz w:val="22"/>
          <w:szCs w:val="22"/>
        </w:rPr>
        <w:t>.</w:t>
      </w:r>
    </w:p>
    <w:p w:rsidR="00B51CEA" w:rsidRPr="00373374" w:rsidRDefault="00B51CEA" w:rsidP="00701AC1">
      <w:pPr>
        <w:spacing w:after="60"/>
        <w:rPr>
          <w:bCs/>
          <w:sz w:val="22"/>
          <w:szCs w:val="22"/>
        </w:rPr>
      </w:pPr>
      <w:r w:rsidRPr="00373374">
        <w:rPr>
          <w:sz w:val="22"/>
          <w:szCs w:val="22"/>
        </w:rPr>
        <w:t xml:space="preserve">Compliance is described in </w:t>
      </w:r>
      <w:r w:rsidRPr="00373374">
        <w:rPr>
          <w:bCs/>
          <w:sz w:val="22"/>
          <w:szCs w:val="22"/>
        </w:rPr>
        <w:t>§61.53, Stack Sampling as follows:</w:t>
      </w:r>
    </w:p>
    <w:p w:rsidR="00E968A5" w:rsidRPr="00373374" w:rsidRDefault="00B51CEA" w:rsidP="00701AC1">
      <w:pPr>
        <w:tabs>
          <w:tab w:val="left" w:pos="720"/>
        </w:tabs>
        <w:spacing w:after="60"/>
        <w:ind w:left="360" w:right="360"/>
        <w:jc w:val="both"/>
        <w:rPr>
          <w:i/>
          <w:sz w:val="22"/>
          <w:szCs w:val="22"/>
        </w:rPr>
      </w:pPr>
      <w:r w:rsidRPr="00373374">
        <w:rPr>
          <w:i/>
          <w:color w:val="000000"/>
          <w:sz w:val="22"/>
          <w:szCs w:val="22"/>
          <w:shd w:val="clear" w:color="auto" w:fill="FFFFFF"/>
        </w:rPr>
        <w:t>(d)</w:t>
      </w:r>
      <w:r w:rsidRPr="00373374">
        <w:rPr>
          <w:i/>
          <w:color w:val="000000"/>
          <w:sz w:val="22"/>
          <w:szCs w:val="22"/>
          <w:shd w:val="clear" w:color="auto" w:fill="FFFFFF"/>
        </w:rPr>
        <w:tab/>
      </w:r>
      <w:r w:rsidRPr="00373374">
        <w:rPr>
          <w:i/>
          <w:iCs/>
          <w:color w:val="000000"/>
          <w:sz w:val="22"/>
          <w:szCs w:val="22"/>
          <w:shd w:val="clear" w:color="auto" w:fill="FFFFFF"/>
        </w:rPr>
        <w:t>Sludge incineration and drying plants.</w:t>
      </w:r>
      <w:r w:rsidRPr="00373374">
        <w:rPr>
          <w:rStyle w:val="apple-converted-space"/>
          <w:i/>
          <w:color w:val="000000"/>
          <w:sz w:val="22"/>
          <w:szCs w:val="22"/>
          <w:shd w:val="clear" w:color="auto" w:fill="FFFFFF"/>
        </w:rPr>
        <w:t> </w:t>
      </w:r>
    </w:p>
    <w:p w:rsidR="00B51CEA" w:rsidRPr="00373374" w:rsidRDefault="00B51CEA" w:rsidP="00701AC1">
      <w:pPr>
        <w:pStyle w:val="NormalWeb"/>
        <w:numPr>
          <w:ilvl w:val="1"/>
          <w:numId w:val="15"/>
        </w:numPr>
        <w:shd w:val="clear" w:color="auto" w:fill="FFFFFF"/>
        <w:spacing w:before="0" w:beforeAutospacing="0" w:after="60" w:afterAutospacing="0"/>
        <w:ind w:left="1080" w:right="360" w:hanging="360"/>
        <w:jc w:val="both"/>
        <w:rPr>
          <w:i/>
          <w:color w:val="000000"/>
          <w:sz w:val="22"/>
          <w:szCs w:val="22"/>
        </w:rPr>
      </w:pPr>
      <w:r w:rsidRPr="00373374">
        <w:rPr>
          <w:i/>
          <w:color w:val="000000"/>
          <w:sz w:val="22"/>
          <w:szCs w:val="22"/>
        </w:rPr>
        <w:t>Unless a waiver of emission testing is obtained under §61.13, each owner or operator of a source subject to the standard in §61.52(b) shall test emissions from that source. Such tests shall be conducted in accordance with the procedures set forth either in paragr</w:t>
      </w:r>
      <w:r w:rsidR="00EC6482" w:rsidRPr="00373374">
        <w:rPr>
          <w:i/>
          <w:color w:val="000000"/>
          <w:sz w:val="22"/>
          <w:szCs w:val="22"/>
        </w:rPr>
        <w:t>aph (d) of this section or in §</w:t>
      </w:r>
      <w:r w:rsidRPr="00373374">
        <w:rPr>
          <w:i/>
          <w:color w:val="000000"/>
          <w:sz w:val="22"/>
          <w:szCs w:val="22"/>
        </w:rPr>
        <w:t>61.54.</w:t>
      </w:r>
    </w:p>
    <w:p w:rsidR="00B51CEA" w:rsidRPr="00373374" w:rsidRDefault="00B51CEA" w:rsidP="00701AC1">
      <w:pPr>
        <w:pStyle w:val="NormalWeb"/>
        <w:numPr>
          <w:ilvl w:val="1"/>
          <w:numId w:val="15"/>
        </w:numPr>
        <w:shd w:val="clear" w:color="auto" w:fill="FFFFFF"/>
        <w:spacing w:before="0" w:beforeAutospacing="0" w:after="60" w:afterAutospacing="0"/>
        <w:ind w:left="1080" w:right="360" w:hanging="360"/>
        <w:jc w:val="both"/>
        <w:rPr>
          <w:i/>
          <w:color w:val="000000"/>
          <w:sz w:val="22"/>
          <w:szCs w:val="22"/>
        </w:rPr>
      </w:pPr>
      <w:r w:rsidRPr="00373374">
        <w:rPr>
          <w:i/>
          <w:color w:val="000000"/>
          <w:sz w:val="22"/>
          <w:szCs w:val="22"/>
        </w:rPr>
        <w:t>Method 101A in appendix B to this part shall be used to test emissions as follows:</w:t>
      </w:r>
    </w:p>
    <w:p w:rsidR="00B51CEA" w:rsidRPr="00373374" w:rsidRDefault="00B51CEA" w:rsidP="00701AC1">
      <w:pPr>
        <w:pStyle w:val="NormalWeb"/>
        <w:numPr>
          <w:ilvl w:val="0"/>
          <w:numId w:val="24"/>
        </w:numPr>
        <w:shd w:val="clear" w:color="auto" w:fill="FFFFFF"/>
        <w:spacing w:before="0" w:beforeAutospacing="0" w:after="60" w:afterAutospacing="0"/>
        <w:ind w:left="1440" w:right="360"/>
        <w:jc w:val="both"/>
        <w:rPr>
          <w:i/>
          <w:color w:val="000000"/>
          <w:sz w:val="22"/>
          <w:szCs w:val="22"/>
        </w:rPr>
      </w:pPr>
      <w:r w:rsidRPr="00373374">
        <w:rPr>
          <w:i/>
          <w:color w:val="000000"/>
          <w:sz w:val="22"/>
          <w:szCs w:val="22"/>
        </w:rPr>
        <w:t>The test shall be performed within 90 days of the effective date of these regulations in the case of an existing source or a new source which has an initial startup date preceding the effective date.</w:t>
      </w:r>
    </w:p>
    <w:p w:rsidR="00B51CEA" w:rsidRPr="00373374" w:rsidRDefault="00B51CEA" w:rsidP="00701AC1">
      <w:pPr>
        <w:pStyle w:val="NormalWeb"/>
        <w:numPr>
          <w:ilvl w:val="0"/>
          <w:numId w:val="24"/>
        </w:numPr>
        <w:shd w:val="clear" w:color="auto" w:fill="FFFFFF"/>
        <w:spacing w:before="0" w:beforeAutospacing="0" w:after="60" w:afterAutospacing="0"/>
        <w:ind w:left="1440" w:right="360"/>
        <w:jc w:val="both"/>
        <w:rPr>
          <w:i/>
          <w:color w:val="000000"/>
          <w:sz w:val="22"/>
          <w:szCs w:val="22"/>
        </w:rPr>
      </w:pPr>
      <w:r w:rsidRPr="00373374">
        <w:rPr>
          <w:i/>
          <w:color w:val="000000"/>
          <w:sz w:val="22"/>
          <w:szCs w:val="22"/>
        </w:rPr>
        <w:t>The test shall be performed within 90 days of startup in the case of a new source which did not have an initial startup date preceding the effective date.</w:t>
      </w:r>
    </w:p>
    <w:p w:rsidR="00B51CEA" w:rsidRPr="00373374" w:rsidRDefault="00B51CEA" w:rsidP="00701AC1">
      <w:pPr>
        <w:pStyle w:val="NormalWeb"/>
        <w:numPr>
          <w:ilvl w:val="1"/>
          <w:numId w:val="15"/>
        </w:numPr>
        <w:shd w:val="clear" w:color="auto" w:fill="FFFFFF"/>
        <w:spacing w:before="0" w:beforeAutospacing="0" w:after="60" w:afterAutospacing="0"/>
        <w:ind w:left="1080" w:right="360" w:hanging="360"/>
        <w:jc w:val="both"/>
        <w:rPr>
          <w:i/>
          <w:color w:val="000000"/>
          <w:sz w:val="22"/>
          <w:szCs w:val="22"/>
        </w:rPr>
      </w:pPr>
      <w:r w:rsidRPr="00373374">
        <w:rPr>
          <w:i/>
          <w:color w:val="000000"/>
          <w:sz w:val="22"/>
          <w:szCs w:val="22"/>
        </w:rPr>
        <w:t>The Administrator shall be notified at least 30 days prior to an emission test, so that he may at his option observe the test.</w:t>
      </w:r>
    </w:p>
    <w:p w:rsidR="00B51CEA" w:rsidRPr="00373374" w:rsidRDefault="00B51CEA" w:rsidP="00B51CEA">
      <w:pPr>
        <w:pStyle w:val="NormalWeb"/>
        <w:numPr>
          <w:ilvl w:val="1"/>
          <w:numId w:val="15"/>
        </w:numPr>
        <w:shd w:val="clear" w:color="auto" w:fill="FFFFFF"/>
        <w:spacing w:before="0" w:beforeAutospacing="0" w:after="120" w:afterAutospacing="0"/>
        <w:ind w:left="1080" w:right="360" w:hanging="360"/>
        <w:jc w:val="both"/>
        <w:rPr>
          <w:i/>
          <w:color w:val="000000"/>
          <w:sz w:val="22"/>
          <w:szCs w:val="22"/>
        </w:rPr>
      </w:pPr>
      <w:r w:rsidRPr="00373374">
        <w:rPr>
          <w:b/>
          <w:i/>
          <w:color w:val="000000"/>
          <w:sz w:val="22"/>
          <w:szCs w:val="22"/>
        </w:rPr>
        <w:t>Samples shall be taken over such a period or periods as are necessary to determine accurately the maximum emissions which will occur in a 24-hour period.</w:t>
      </w:r>
      <w:r w:rsidRPr="00373374">
        <w:rPr>
          <w:i/>
          <w:color w:val="000000"/>
          <w:sz w:val="22"/>
          <w:szCs w:val="22"/>
        </w:rPr>
        <w:t xml:space="preserve"> </w:t>
      </w:r>
      <w:r w:rsidR="001B37A7" w:rsidRPr="00373374">
        <w:rPr>
          <w:i/>
          <w:color w:val="000000"/>
          <w:sz w:val="22"/>
          <w:szCs w:val="22"/>
        </w:rPr>
        <w:t xml:space="preserve"> </w:t>
      </w:r>
      <w:r w:rsidRPr="00373374">
        <w:rPr>
          <w:i/>
          <w:color w:val="000000"/>
          <w:sz w:val="22"/>
          <w:szCs w:val="22"/>
        </w:rPr>
        <w:t>No changes shall be made in the operation which would potentially increase emissions above the level determined by the most recent stack test, until the new emission level has been estimated by calculation and the results reported to the Administrator.</w:t>
      </w:r>
    </w:p>
    <w:p w:rsidR="00BD1291" w:rsidRPr="00373374" w:rsidRDefault="00EC6482" w:rsidP="00BD1291">
      <w:pPr>
        <w:spacing w:after="120"/>
        <w:rPr>
          <w:sz w:val="22"/>
          <w:szCs w:val="22"/>
        </w:rPr>
      </w:pPr>
      <w:r w:rsidRPr="00373374">
        <w:rPr>
          <w:sz w:val="22"/>
          <w:szCs w:val="22"/>
        </w:rPr>
        <w:t>The County request</w:t>
      </w:r>
      <w:r w:rsidR="00BD1291" w:rsidRPr="00373374">
        <w:rPr>
          <w:sz w:val="22"/>
          <w:szCs w:val="22"/>
        </w:rPr>
        <w:t>ed</w:t>
      </w:r>
      <w:r w:rsidRPr="00373374">
        <w:rPr>
          <w:sz w:val="22"/>
          <w:szCs w:val="22"/>
        </w:rPr>
        <w:t xml:space="preserve"> a waiver of emission testing</w:t>
      </w:r>
      <w:r w:rsidR="00BD1291" w:rsidRPr="00373374">
        <w:rPr>
          <w:sz w:val="22"/>
          <w:szCs w:val="22"/>
        </w:rPr>
        <w:t xml:space="preserve"> under 40 CFR </w:t>
      </w:r>
      <w:r w:rsidR="00BD1291" w:rsidRPr="00373374">
        <w:rPr>
          <w:color w:val="000000"/>
          <w:sz w:val="22"/>
          <w:szCs w:val="22"/>
        </w:rPr>
        <w:t>§</w:t>
      </w:r>
      <w:r w:rsidR="00BD1291" w:rsidRPr="00373374">
        <w:rPr>
          <w:b/>
          <w:color w:val="000000"/>
          <w:sz w:val="22"/>
          <w:szCs w:val="22"/>
        </w:rPr>
        <w:t>6</w:t>
      </w:r>
      <w:r w:rsidR="002844FE" w:rsidRPr="00373374">
        <w:rPr>
          <w:b/>
          <w:color w:val="000000"/>
          <w:sz w:val="22"/>
          <w:szCs w:val="22"/>
        </w:rPr>
        <w:t>0</w:t>
      </w:r>
      <w:r w:rsidR="00BD1291" w:rsidRPr="00373374">
        <w:rPr>
          <w:sz w:val="22"/>
          <w:szCs w:val="22"/>
        </w:rPr>
        <w:t>.13(h</w:t>
      </w:r>
      <w:proofErr w:type="gramStart"/>
      <w:r w:rsidR="00BD1291" w:rsidRPr="00373374">
        <w:rPr>
          <w:sz w:val="22"/>
          <w:szCs w:val="22"/>
        </w:rPr>
        <w:t>)(</w:t>
      </w:r>
      <w:proofErr w:type="gramEnd"/>
      <w:r w:rsidR="00BD1291" w:rsidRPr="00373374">
        <w:rPr>
          <w:sz w:val="22"/>
          <w:szCs w:val="22"/>
        </w:rPr>
        <w:t>1)(</w:t>
      </w:r>
      <w:r w:rsidR="00BD1291" w:rsidRPr="00373374">
        <w:rPr>
          <w:b/>
          <w:sz w:val="22"/>
          <w:szCs w:val="22"/>
        </w:rPr>
        <w:t>m</w:t>
      </w:r>
      <w:r w:rsidR="00BD1291" w:rsidRPr="00373374">
        <w:rPr>
          <w:sz w:val="22"/>
          <w:szCs w:val="22"/>
        </w:rPr>
        <w:t>)</w:t>
      </w:r>
      <w:r w:rsidR="00DE708D" w:rsidRPr="00373374">
        <w:rPr>
          <w:sz w:val="22"/>
          <w:szCs w:val="22"/>
        </w:rPr>
        <w:t>.  P</w:t>
      </w:r>
      <w:r w:rsidR="002844FE" w:rsidRPr="00373374">
        <w:rPr>
          <w:sz w:val="22"/>
          <w:szCs w:val="22"/>
        </w:rPr>
        <w:t xml:space="preserve">resumably, the applicant means 40 CFR 61, Subpart A, </w:t>
      </w:r>
      <w:r w:rsidR="002844FE" w:rsidRPr="00373374">
        <w:rPr>
          <w:color w:val="000000"/>
          <w:sz w:val="22"/>
          <w:szCs w:val="22"/>
        </w:rPr>
        <w:t>§</w:t>
      </w:r>
      <w:r w:rsidR="002844FE" w:rsidRPr="00373374">
        <w:rPr>
          <w:b/>
          <w:color w:val="000000"/>
          <w:sz w:val="22"/>
          <w:szCs w:val="22"/>
        </w:rPr>
        <w:t>61</w:t>
      </w:r>
      <w:r w:rsidR="002844FE" w:rsidRPr="00373374">
        <w:rPr>
          <w:sz w:val="22"/>
          <w:szCs w:val="22"/>
        </w:rPr>
        <w:t>.13(h</w:t>
      </w:r>
      <w:proofErr w:type="gramStart"/>
      <w:r w:rsidR="002844FE" w:rsidRPr="00373374">
        <w:rPr>
          <w:sz w:val="22"/>
          <w:szCs w:val="22"/>
        </w:rPr>
        <w:t>)(</w:t>
      </w:r>
      <w:proofErr w:type="gramEnd"/>
      <w:r w:rsidR="002844FE" w:rsidRPr="00373374">
        <w:rPr>
          <w:sz w:val="22"/>
          <w:szCs w:val="22"/>
        </w:rPr>
        <w:t>1)(</w:t>
      </w:r>
      <w:r w:rsidR="002844FE" w:rsidRPr="00373374">
        <w:rPr>
          <w:b/>
          <w:sz w:val="22"/>
          <w:szCs w:val="22"/>
        </w:rPr>
        <w:t>iii</w:t>
      </w:r>
      <w:r w:rsidR="002844FE" w:rsidRPr="00373374">
        <w:rPr>
          <w:sz w:val="22"/>
          <w:szCs w:val="22"/>
        </w:rPr>
        <w:t>)</w:t>
      </w:r>
      <w:r w:rsidR="00BD1291" w:rsidRPr="00373374">
        <w:rPr>
          <w:sz w:val="22"/>
          <w:szCs w:val="22"/>
        </w:rPr>
        <w:t>, which states:</w:t>
      </w:r>
    </w:p>
    <w:p w:rsidR="002844FE" w:rsidRPr="00373374" w:rsidRDefault="002844FE" w:rsidP="00DE708D">
      <w:pPr>
        <w:tabs>
          <w:tab w:val="left" w:pos="1080"/>
        </w:tabs>
        <w:spacing w:after="60"/>
        <w:ind w:left="1080" w:hanging="720"/>
        <w:jc w:val="both"/>
        <w:rPr>
          <w:i/>
          <w:sz w:val="22"/>
          <w:szCs w:val="22"/>
        </w:rPr>
      </w:pPr>
      <w:r w:rsidRPr="00373374">
        <w:rPr>
          <w:i/>
          <w:sz w:val="22"/>
          <w:szCs w:val="22"/>
        </w:rPr>
        <w:t>(h)(1)</w:t>
      </w:r>
      <w:r w:rsidRPr="00373374">
        <w:rPr>
          <w:i/>
          <w:sz w:val="22"/>
          <w:szCs w:val="22"/>
        </w:rPr>
        <w:tab/>
        <w:t>Emission tests shall be conducted as set forth in this section, the applicable subpart and appendix B unless the Administrator:</w:t>
      </w:r>
    </w:p>
    <w:p w:rsidR="002844FE" w:rsidRPr="00373374" w:rsidRDefault="002844FE" w:rsidP="002844FE">
      <w:pPr>
        <w:pStyle w:val="ListParagraph"/>
        <w:numPr>
          <w:ilvl w:val="0"/>
          <w:numId w:val="42"/>
        </w:numPr>
        <w:spacing w:after="60"/>
        <w:ind w:left="1530" w:right="324" w:hanging="450"/>
        <w:contextualSpacing w:val="0"/>
        <w:jc w:val="both"/>
        <w:rPr>
          <w:i/>
          <w:sz w:val="22"/>
          <w:szCs w:val="22"/>
        </w:rPr>
      </w:pPr>
      <w:r w:rsidRPr="00373374">
        <w:rPr>
          <w:i/>
          <w:sz w:val="22"/>
          <w:szCs w:val="22"/>
        </w:rPr>
        <w:t>Specifies or approves the use of a reference method with minor changes in methodology; or</w:t>
      </w:r>
    </w:p>
    <w:p w:rsidR="002844FE" w:rsidRPr="00373374" w:rsidRDefault="002844FE" w:rsidP="002844FE">
      <w:pPr>
        <w:pStyle w:val="ListParagraph"/>
        <w:numPr>
          <w:ilvl w:val="0"/>
          <w:numId w:val="42"/>
        </w:numPr>
        <w:spacing w:after="60"/>
        <w:ind w:left="1530" w:right="324" w:hanging="450"/>
        <w:contextualSpacing w:val="0"/>
        <w:jc w:val="both"/>
        <w:rPr>
          <w:i/>
          <w:sz w:val="22"/>
          <w:szCs w:val="22"/>
        </w:rPr>
      </w:pPr>
      <w:r w:rsidRPr="00373374">
        <w:rPr>
          <w:i/>
          <w:sz w:val="22"/>
          <w:szCs w:val="22"/>
        </w:rPr>
        <w:t>Approves the use of an alternative method; or</w:t>
      </w:r>
    </w:p>
    <w:p w:rsidR="002844FE" w:rsidRPr="00373374" w:rsidRDefault="002844FE" w:rsidP="002844FE">
      <w:pPr>
        <w:pStyle w:val="ListParagraph"/>
        <w:numPr>
          <w:ilvl w:val="0"/>
          <w:numId w:val="42"/>
        </w:numPr>
        <w:spacing w:after="120"/>
        <w:ind w:left="1530" w:right="324" w:hanging="450"/>
        <w:jc w:val="both"/>
        <w:rPr>
          <w:i/>
          <w:sz w:val="22"/>
          <w:szCs w:val="22"/>
        </w:rPr>
      </w:pPr>
      <w:r w:rsidRPr="00373374">
        <w:rPr>
          <w:i/>
          <w:sz w:val="22"/>
          <w:szCs w:val="22"/>
        </w:rPr>
        <w:t>Waives the requirement for emission testing because the owner or operator of a source has demonstrated by other means to the Administrator's satisfaction that the source is in compliance with the standard.</w:t>
      </w:r>
    </w:p>
    <w:p w:rsidR="00373374" w:rsidRPr="00373374" w:rsidRDefault="00373374">
      <w:pPr>
        <w:rPr>
          <w:sz w:val="22"/>
          <w:szCs w:val="22"/>
        </w:rPr>
      </w:pPr>
      <w:r w:rsidRPr="00373374">
        <w:rPr>
          <w:sz w:val="22"/>
          <w:szCs w:val="22"/>
        </w:rPr>
        <w:br w:type="page"/>
      </w:r>
    </w:p>
    <w:p w:rsidR="002844FE" w:rsidRPr="00373374" w:rsidRDefault="002844FE" w:rsidP="00BD1291">
      <w:pPr>
        <w:spacing w:after="120"/>
        <w:rPr>
          <w:sz w:val="22"/>
          <w:szCs w:val="22"/>
        </w:rPr>
      </w:pPr>
      <w:r w:rsidRPr="00373374">
        <w:rPr>
          <w:sz w:val="22"/>
          <w:szCs w:val="22"/>
        </w:rPr>
        <w:lastRenderedPageBreak/>
        <w:t>According to the applicant:</w:t>
      </w:r>
    </w:p>
    <w:p w:rsidR="00EC6482" w:rsidRPr="00373374" w:rsidRDefault="002844FE" w:rsidP="00EE3035">
      <w:pPr>
        <w:spacing w:after="120"/>
        <w:ind w:left="360" w:right="324"/>
        <w:jc w:val="both"/>
        <w:rPr>
          <w:i/>
          <w:sz w:val="22"/>
          <w:szCs w:val="22"/>
        </w:rPr>
      </w:pPr>
      <w:r w:rsidRPr="00373374">
        <w:rPr>
          <w:i/>
          <w:sz w:val="22"/>
          <w:szCs w:val="22"/>
        </w:rPr>
        <w:t>“U</w:t>
      </w:r>
      <w:r w:rsidR="00EC6482" w:rsidRPr="00373374">
        <w:rPr>
          <w:i/>
          <w:sz w:val="22"/>
          <w:szCs w:val="22"/>
        </w:rPr>
        <w:t xml:space="preserve">pper-bound mercury loadings for sewage sludge addition of up to 10 percent of the total waste feed rate by mass would not cause any of the MWC units to approach or exceed their permitted mercury emission limit. </w:t>
      </w:r>
      <w:r w:rsidR="00EE3035" w:rsidRPr="00373374">
        <w:rPr>
          <w:i/>
          <w:sz w:val="22"/>
          <w:szCs w:val="22"/>
        </w:rPr>
        <w:t xml:space="preserve"> </w:t>
      </w:r>
      <w:r w:rsidR="00EC6482" w:rsidRPr="00373374">
        <w:rPr>
          <w:i/>
          <w:sz w:val="22"/>
          <w:szCs w:val="22"/>
        </w:rPr>
        <w:t xml:space="preserve">Hillsborough County requests, therefore, that compliance with 40 CFR Subpart E </w:t>
      </w:r>
      <w:proofErr w:type="gramStart"/>
      <w:r w:rsidR="00EC6482" w:rsidRPr="00373374">
        <w:rPr>
          <w:i/>
          <w:sz w:val="22"/>
          <w:szCs w:val="22"/>
        </w:rPr>
        <w:t>be</w:t>
      </w:r>
      <w:proofErr w:type="gramEnd"/>
      <w:r w:rsidR="00EC6482" w:rsidRPr="00373374">
        <w:rPr>
          <w:i/>
          <w:sz w:val="22"/>
          <w:szCs w:val="22"/>
        </w:rPr>
        <w:t xml:space="preserve"> based on the annual mercury compliance stack testing already required by the current Title V Permit.  In addition, </w:t>
      </w:r>
      <w:r w:rsidR="00EE3035" w:rsidRPr="00373374">
        <w:rPr>
          <w:i/>
          <w:sz w:val="22"/>
          <w:szCs w:val="22"/>
        </w:rPr>
        <w:br/>
      </w:r>
      <w:r w:rsidR="00EC6482" w:rsidRPr="00373374">
        <w:rPr>
          <w:i/>
          <w:sz w:val="22"/>
          <w:szCs w:val="22"/>
        </w:rPr>
        <w:t xml:space="preserve">Unit 4 is testing </w:t>
      </w:r>
      <w:proofErr w:type="gramStart"/>
      <w:r w:rsidR="00EC6482" w:rsidRPr="00373374">
        <w:rPr>
          <w:i/>
          <w:sz w:val="22"/>
          <w:szCs w:val="22"/>
        </w:rPr>
        <w:t>a mercury</w:t>
      </w:r>
      <w:proofErr w:type="gramEnd"/>
      <w:r w:rsidR="00EC6482" w:rsidRPr="00373374">
        <w:rPr>
          <w:i/>
          <w:sz w:val="22"/>
          <w:szCs w:val="22"/>
        </w:rPr>
        <w:t xml:space="preserve"> CEM that gives real time emissions readings</w:t>
      </w:r>
      <w:r w:rsidR="00EE3035" w:rsidRPr="00373374">
        <w:rPr>
          <w:i/>
          <w:sz w:val="22"/>
          <w:szCs w:val="22"/>
        </w:rPr>
        <w:t>”</w:t>
      </w:r>
      <w:r w:rsidR="00EC6482" w:rsidRPr="00373374">
        <w:rPr>
          <w:i/>
          <w:sz w:val="22"/>
          <w:szCs w:val="22"/>
        </w:rPr>
        <w:t>.</w:t>
      </w:r>
    </w:p>
    <w:p w:rsidR="00EC6482" w:rsidRPr="00373374" w:rsidRDefault="00EE3035" w:rsidP="00B51CEA">
      <w:pPr>
        <w:spacing w:after="120"/>
        <w:ind w:right="360"/>
        <w:jc w:val="both"/>
        <w:rPr>
          <w:sz w:val="22"/>
          <w:szCs w:val="22"/>
        </w:rPr>
      </w:pPr>
      <w:r w:rsidRPr="00373374">
        <w:rPr>
          <w:sz w:val="22"/>
          <w:szCs w:val="22"/>
        </w:rPr>
        <w:t>The Department reviewed the respective mercury standards contained in 40 CFR 61, Subpart E, 40 CFR 60, Subpart Eb and the Department’s MWC Rule and concludes that compliance with the methods and emissions standards given in the two latter rules insure compliance with the requirements of Subpart E.  The Department approves the County’s</w:t>
      </w:r>
      <w:r w:rsidR="00201525" w:rsidRPr="00373374">
        <w:rPr>
          <w:sz w:val="22"/>
          <w:szCs w:val="22"/>
        </w:rPr>
        <w:t xml:space="preserve"> request as an alternative test method in accordance with Subpart A, </w:t>
      </w:r>
      <w:r w:rsidR="00201525" w:rsidRPr="00373374">
        <w:rPr>
          <w:color w:val="000000"/>
          <w:sz w:val="22"/>
          <w:szCs w:val="22"/>
        </w:rPr>
        <w:t>§61</w:t>
      </w:r>
      <w:r w:rsidR="00201525" w:rsidRPr="00373374">
        <w:rPr>
          <w:sz w:val="22"/>
          <w:szCs w:val="22"/>
        </w:rPr>
        <w:t>.13(h</w:t>
      </w:r>
      <w:proofErr w:type="gramStart"/>
      <w:r w:rsidR="00201525" w:rsidRPr="00373374">
        <w:rPr>
          <w:sz w:val="22"/>
          <w:szCs w:val="22"/>
        </w:rPr>
        <w:t>)(</w:t>
      </w:r>
      <w:proofErr w:type="gramEnd"/>
      <w:r w:rsidR="00201525" w:rsidRPr="00373374">
        <w:rPr>
          <w:sz w:val="22"/>
          <w:szCs w:val="22"/>
        </w:rPr>
        <w:t xml:space="preserve">1) paragraph (ii) rather than </w:t>
      </w:r>
      <w:r w:rsidR="00373374" w:rsidRPr="00373374">
        <w:rPr>
          <w:sz w:val="22"/>
          <w:szCs w:val="22"/>
        </w:rPr>
        <w:t xml:space="preserve">as a waiver per </w:t>
      </w:r>
      <w:r w:rsidR="00201525" w:rsidRPr="00373374">
        <w:rPr>
          <w:sz w:val="22"/>
          <w:szCs w:val="22"/>
        </w:rPr>
        <w:t>paragraph (iii).</w:t>
      </w:r>
    </w:p>
    <w:p w:rsidR="007A16A3" w:rsidRPr="00373374" w:rsidRDefault="007A16A3" w:rsidP="007A16A3">
      <w:pPr>
        <w:spacing w:after="120"/>
        <w:rPr>
          <w:b/>
          <w:i/>
          <w:sz w:val="22"/>
          <w:szCs w:val="22"/>
        </w:rPr>
      </w:pPr>
      <w:bookmarkStart w:id="0" w:name="_top"/>
      <w:bookmarkEnd w:id="0"/>
      <w:r w:rsidRPr="00373374">
        <w:rPr>
          <w:b/>
          <w:i/>
          <w:sz w:val="22"/>
          <w:szCs w:val="22"/>
        </w:rPr>
        <w:t>40 CFR Part 503-Standards for the Use or Disposal of Sewage Sludge</w:t>
      </w:r>
    </w:p>
    <w:p w:rsidR="000358D8" w:rsidRPr="00373374" w:rsidRDefault="000358D8" w:rsidP="000358D8">
      <w:pPr>
        <w:spacing w:after="120"/>
        <w:ind w:right="-180"/>
        <w:rPr>
          <w:sz w:val="22"/>
          <w:szCs w:val="22"/>
        </w:rPr>
      </w:pPr>
      <w:r w:rsidRPr="00373374">
        <w:rPr>
          <w:sz w:val="22"/>
          <w:szCs w:val="22"/>
        </w:rPr>
        <w:t xml:space="preserve">Refer to 40 CFR 503.  </w:t>
      </w:r>
      <w:hyperlink r:id="rId43" w:history="1">
        <w:r w:rsidRPr="00373374">
          <w:rPr>
            <w:rStyle w:val="Hyperlink"/>
            <w:sz w:val="22"/>
            <w:szCs w:val="22"/>
          </w:rPr>
          <w:t>Link to 40 CFR Part 503</w:t>
        </w:r>
      </w:hyperlink>
      <w:r w:rsidRPr="00373374">
        <w:rPr>
          <w:sz w:val="22"/>
          <w:szCs w:val="22"/>
        </w:rPr>
        <w:t xml:space="preserve">  </w:t>
      </w:r>
      <w:r w:rsidR="007A16A3" w:rsidRPr="00373374">
        <w:rPr>
          <w:sz w:val="22"/>
          <w:szCs w:val="22"/>
        </w:rPr>
        <w:t xml:space="preserve">The regulation specifies requirements related to land application, surface disposal, pathogens/vectors, and incineration related to final use and disposal of sewage sludge.  </w:t>
      </w:r>
      <w:r w:rsidRPr="00373374">
        <w:rPr>
          <w:sz w:val="22"/>
          <w:szCs w:val="22"/>
        </w:rPr>
        <w:t xml:space="preserve">According to 40 CFR </w:t>
      </w:r>
      <w:proofErr w:type="gramStart"/>
      <w:r w:rsidRPr="00373374">
        <w:rPr>
          <w:sz w:val="22"/>
          <w:szCs w:val="22"/>
        </w:rPr>
        <w:t>Part</w:t>
      </w:r>
      <w:proofErr w:type="gramEnd"/>
      <w:r w:rsidRPr="00373374">
        <w:rPr>
          <w:sz w:val="22"/>
          <w:szCs w:val="22"/>
        </w:rPr>
        <w:t xml:space="preserve"> 503, </w:t>
      </w:r>
      <w:r w:rsidRPr="00373374">
        <w:rPr>
          <w:bCs/>
          <w:sz w:val="22"/>
          <w:szCs w:val="22"/>
        </w:rPr>
        <w:t>§503.6, Exclusions:</w:t>
      </w:r>
    </w:p>
    <w:p w:rsidR="000358D8" w:rsidRPr="00373374" w:rsidRDefault="000358D8" w:rsidP="007A16A3">
      <w:pPr>
        <w:pStyle w:val="ListParagraph"/>
        <w:numPr>
          <w:ilvl w:val="0"/>
          <w:numId w:val="26"/>
        </w:numPr>
        <w:spacing w:after="120"/>
        <w:ind w:left="720" w:right="360"/>
        <w:jc w:val="both"/>
        <w:rPr>
          <w:i/>
          <w:sz w:val="22"/>
          <w:szCs w:val="22"/>
        </w:rPr>
      </w:pPr>
      <w:r w:rsidRPr="00373374">
        <w:rPr>
          <w:i/>
          <w:iCs/>
          <w:sz w:val="22"/>
          <w:szCs w:val="22"/>
        </w:rPr>
        <w:t>Co-firing of sewage sludge.</w:t>
      </w:r>
      <w:r w:rsidRPr="00373374">
        <w:rPr>
          <w:i/>
          <w:sz w:val="22"/>
          <w:szCs w:val="22"/>
        </w:rPr>
        <w:t xml:space="preserve">  This part does not establish requirements for </w:t>
      </w:r>
      <w:r w:rsidRPr="00373374">
        <w:rPr>
          <w:b/>
          <w:i/>
          <w:sz w:val="22"/>
          <w:szCs w:val="22"/>
        </w:rPr>
        <w:t>sewage sludge co-fired in an incinerator with other wastes</w:t>
      </w:r>
      <w:r w:rsidRPr="00373374">
        <w:rPr>
          <w:i/>
          <w:sz w:val="22"/>
          <w:szCs w:val="22"/>
        </w:rPr>
        <w:t xml:space="preserve"> or for the incinerator in which sewage sludge and other wastes are co-fired.  Other wastes do not include auxiliary fuel, as defined in 40 CFR 503.41(b), fired in a sewage sludge incinerator.</w:t>
      </w:r>
    </w:p>
    <w:p w:rsidR="000358D8" w:rsidRPr="00373374" w:rsidRDefault="00296DB3" w:rsidP="00113320">
      <w:pPr>
        <w:spacing w:after="120"/>
        <w:ind w:right="-180"/>
        <w:rPr>
          <w:sz w:val="22"/>
          <w:szCs w:val="22"/>
        </w:rPr>
      </w:pPr>
      <w:r w:rsidRPr="00373374">
        <w:rPr>
          <w:sz w:val="22"/>
          <w:szCs w:val="22"/>
        </w:rPr>
        <w:t>Because the four MWC’s will continue to burn 9</w:t>
      </w:r>
      <w:r w:rsidR="00746948" w:rsidRPr="00373374">
        <w:rPr>
          <w:sz w:val="22"/>
          <w:szCs w:val="22"/>
        </w:rPr>
        <w:t>5</w:t>
      </w:r>
      <w:r w:rsidRPr="00373374">
        <w:rPr>
          <w:sz w:val="22"/>
          <w:szCs w:val="22"/>
        </w:rPr>
        <w:t xml:space="preserve">% MSW or similar wastes and co-fire only </w:t>
      </w:r>
      <w:r w:rsidR="00746948" w:rsidRPr="00373374">
        <w:rPr>
          <w:sz w:val="22"/>
          <w:szCs w:val="22"/>
        </w:rPr>
        <w:t>5</w:t>
      </w:r>
      <w:r w:rsidRPr="00373374">
        <w:rPr>
          <w:sz w:val="22"/>
          <w:szCs w:val="22"/>
        </w:rPr>
        <w:t>% sewage sludge, 40 CFR Part 503 does not apply to this project.</w:t>
      </w:r>
    </w:p>
    <w:p w:rsidR="000358D8" w:rsidRPr="00373374" w:rsidRDefault="00E37CD6" w:rsidP="00113320">
      <w:pPr>
        <w:pStyle w:val="ListParagraph"/>
        <w:widowControl w:val="0"/>
        <w:numPr>
          <w:ilvl w:val="0"/>
          <w:numId w:val="7"/>
        </w:numPr>
        <w:tabs>
          <w:tab w:val="clear" w:pos="1080"/>
        </w:tabs>
        <w:spacing w:after="120"/>
        <w:ind w:left="360"/>
        <w:contextualSpacing w:val="0"/>
        <w:jc w:val="both"/>
        <w:rPr>
          <w:b/>
          <w:caps/>
          <w:sz w:val="22"/>
          <w:szCs w:val="22"/>
        </w:rPr>
      </w:pPr>
      <w:r w:rsidRPr="00373374">
        <w:rPr>
          <w:b/>
          <w:caps/>
          <w:sz w:val="22"/>
          <w:szCs w:val="22"/>
        </w:rPr>
        <w:t xml:space="preserve">description of </w:t>
      </w:r>
      <w:r w:rsidR="00113320" w:rsidRPr="00373374">
        <w:rPr>
          <w:b/>
          <w:caps/>
          <w:sz w:val="22"/>
          <w:szCs w:val="22"/>
        </w:rPr>
        <w:t>permit</w:t>
      </w:r>
      <w:r w:rsidRPr="00373374">
        <w:rPr>
          <w:b/>
          <w:caps/>
          <w:sz w:val="22"/>
          <w:szCs w:val="22"/>
        </w:rPr>
        <w:t xml:space="preserve">ting </w:t>
      </w:r>
      <w:r w:rsidR="00113320" w:rsidRPr="00373374">
        <w:rPr>
          <w:b/>
          <w:caps/>
          <w:sz w:val="22"/>
          <w:szCs w:val="22"/>
        </w:rPr>
        <w:t xml:space="preserve">requirements </w:t>
      </w:r>
      <w:r w:rsidRPr="00373374">
        <w:rPr>
          <w:b/>
          <w:caps/>
          <w:sz w:val="22"/>
          <w:szCs w:val="22"/>
        </w:rPr>
        <w:t>in the draft permit</w:t>
      </w:r>
    </w:p>
    <w:p w:rsidR="00E37CD6" w:rsidRPr="00373374" w:rsidRDefault="00E37CD6" w:rsidP="00701AC1">
      <w:pPr>
        <w:widowControl w:val="0"/>
        <w:spacing w:after="60"/>
        <w:jc w:val="both"/>
        <w:rPr>
          <w:sz w:val="22"/>
          <w:szCs w:val="22"/>
        </w:rPr>
      </w:pPr>
      <w:r w:rsidRPr="00373374">
        <w:rPr>
          <w:sz w:val="22"/>
          <w:szCs w:val="22"/>
        </w:rPr>
        <w:t>The Department prepared the enclosed draft permit that:</w:t>
      </w:r>
    </w:p>
    <w:p w:rsidR="00E37CD6" w:rsidRPr="00373374" w:rsidRDefault="00E37CD6" w:rsidP="00701AC1">
      <w:pPr>
        <w:pStyle w:val="ListParagraph"/>
        <w:widowControl w:val="0"/>
        <w:numPr>
          <w:ilvl w:val="0"/>
          <w:numId w:val="35"/>
        </w:numPr>
        <w:spacing w:after="60"/>
        <w:ind w:left="360"/>
        <w:contextualSpacing w:val="0"/>
        <w:rPr>
          <w:sz w:val="22"/>
          <w:szCs w:val="22"/>
        </w:rPr>
      </w:pPr>
      <w:r w:rsidRPr="00373374">
        <w:rPr>
          <w:sz w:val="22"/>
          <w:szCs w:val="22"/>
        </w:rPr>
        <w:t>Describes the waste throughput parameters as design characteristics;</w:t>
      </w:r>
    </w:p>
    <w:p w:rsidR="00E37CD6" w:rsidRPr="00373374" w:rsidRDefault="00E37CD6" w:rsidP="00701AC1">
      <w:pPr>
        <w:pStyle w:val="ListParagraph"/>
        <w:widowControl w:val="0"/>
        <w:numPr>
          <w:ilvl w:val="0"/>
          <w:numId w:val="35"/>
        </w:numPr>
        <w:spacing w:after="60"/>
        <w:ind w:left="360"/>
        <w:contextualSpacing w:val="0"/>
        <w:rPr>
          <w:sz w:val="22"/>
          <w:szCs w:val="22"/>
        </w:rPr>
      </w:pPr>
      <w:r w:rsidRPr="00373374">
        <w:rPr>
          <w:sz w:val="22"/>
          <w:szCs w:val="22"/>
        </w:rPr>
        <w:t>Specifies maximum steam production limits for Units 1-3 on a 4-hour basis similar to the steam production limit contained in the PSD permit for Unit 4;</w:t>
      </w:r>
    </w:p>
    <w:p w:rsidR="00E37CD6" w:rsidRPr="00373374" w:rsidRDefault="00E37CD6" w:rsidP="00701AC1">
      <w:pPr>
        <w:pStyle w:val="ListParagraph"/>
        <w:widowControl w:val="0"/>
        <w:numPr>
          <w:ilvl w:val="0"/>
          <w:numId w:val="35"/>
        </w:numPr>
        <w:spacing w:after="60"/>
        <w:ind w:left="360"/>
        <w:contextualSpacing w:val="0"/>
        <w:rPr>
          <w:sz w:val="22"/>
          <w:szCs w:val="22"/>
        </w:rPr>
      </w:pPr>
      <w:r w:rsidRPr="00373374">
        <w:rPr>
          <w:sz w:val="22"/>
          <w:szCs w:val="22"/>
        </w:rPr>
        <w:t>Removes the prohibition against burning sewage sludge in the four MW</w:t>
      </w:r>
      <w:r w:rsidR="00746948" w:rsidRPr="00373374">
        <w:rPr>
          <w:sz w:val="22"/>
          <w:szCs w:val="22"/>
        </w:rPr>
        <w:t>C’s and provides for co-firing 5</w:t>
      </w:r>
      <w:r w:rsidRPr="00373374">
        <w:rPr>
          <w:sz w:val="22"/>
          <w:szCs w:val="22"/>
        </w:rPr>
        <w:t>% biosolids (dewatered sewage sludge) by weight;</w:t>
      </w:r>
    </w:p>
    <w:p w:rsidR="007436D4" w:rsidRDefault="007436D4" w:rsidP="00E37CD6">
      <w:pPr>
        <w:pStyle w:val="ListParagraph"/>
        <w:widowControl w:val="0"/>
        <w:numPr>
          <w:ilvl w:val="0"/>
          <w:numId w:val="35"/>
        </w:numPr>
        <w:spacing w:after="120"/>
        <w:ind w:left="360"/>
        <w:contextualSpacing w:val="0"/>
        <w:rPr>
          <w:sz w:val="22"/>
          <w:szCs w:val="22"/>
        </w:rPr>
      </w:pPr>
      <w:r w:rsidRPr="007436D4">
        <w:rPr>
          <w:sz w:val="22"/>
          <w:szCs w:val="22"/>
        </w:rPr>
        <w:t>Requires t</w:t>
      </w:r>
      <w:r>
        <w:rPr>
          <w:sz w:val="22"/>
          <w:szCs w:val="22"/>
        </w:rPr>
        <w:t>he permittee to compare CO, SO</w:t>
      </w:r>
      <w:r w:rsidRPr="009F7B71">
        <w:rPr>
          <w:sz w:val="22"/>
          <w:szCs w:val="22"/>
          <w:vertAlign w:val="subscript"/>
        </w:rPr>
        <w:t>2</w:t>
      </w:r>
      <w:r>
        <w:rPr>
          <w:sz w:val="22"/>
          <w:szCs w:val="22"/>
        </w:rPr>
        <w:t>, NO</w:t>
      </w:r>
      <w:r w:rsidRPr="009F7B71">
        <w:rPr>
          <w:sz w:val="22"/>
          <w:szCs w:val="22"/>
          <w:vertAlign w:val="subscript"/>
        </w:rPr>
        <w:t>X</w:t>
      </w:r>
      <w:r>
        <w:rPr>
          <w:sz w:val="22"/>
          <w:szCs w:val="22"/>
        </w:rPr>
        <w:t xml:space="preserve"> and Hg concentrations and mass emissions measured with the installed continuous emission monitoring systems (CEMS) for 30 operating days from Unit 4 with the first 30 operating days after initiating </w:t>
      </w:r>
      <w:proofErr w:type="spellStart"/>
      <w:r>
        <w:rPr>
          <w:sz w:val="22"/>
          <w:szCs w:val="22"/>
        </w:rPr>
        <w:t>biosolids</w:t>
      </w:r>
      <w:proofErr w:type="spellEnd"/>
      <w:r>
        <w:rPr>
          <w:sz w:val="22"/>
          <w:szCs w:val="22"/>
        </w:rPr>
        <w:t xml:space="preserve"> utilization at Unit 4.  </w:t>
      </w:r>
    </w:p>
    <w:p w:rsidR="00E37CD6" w:rsidRPr="00373374" w:rsidRDefault="007436D4" w:rsidP="00E37CD6">
      <w:pPr>
        <w:pStyle w:val="ListParagraph"/>
        <w:widowControl w:val="0"/>
        <w:numPr>
          <w:ilvl w:val="0"/>
          <w:numId w:val="35"/>
        </w:numPr>
        <w:spacing w:after="120"/>
        <w:ind w:left="360"/>
        <w:contextualSpacing w:val="0"/>
        <w:rPr>
          <w:sz w:val="22"/>
          <w:szCs w:val="22"/>
        </w:rPr>
      </w:pPr>
      <w:r>
        <w:rPr>
          <w:sz w:val="22"/>
          <w:szCs w:val="22"/>
        </w:rPr>
        <w:t xml:space="preserve">Requires the permittee to submit a letter report to the Department including a summary of measures taken to insure emission increases caused by </w:t>
      </w:r>
      <w:proofErr w:type="spellStart"/>
      <w:r>
        <w:rPr>
          <w:sz w:val="22"/>
          <w:szCs w:val="22"/>
        </w:rPr>
        <w:t>biosolids</w:t>
      </w:r>
      <w:proofErr w:type="spellEnd"/>
      <w:r>
        <w:rPr>
          <w:sz w:val="22"/>
          <w:szCs w:val="22"/>
        </w:rPr>
        <w:t xml:space="preserve"> utilization are minimized. </w:t>
      </w:r>
    </w:p>
    <w:p w:rsidR="00193F10" w:rsidRPr="00373374" w:rsidRDefault="00193F10" w:rsidP="00113320">
      <w:pPr>
        <w:pStyle w:val="ListParagraph"/>
        <w:widowControl w:val="0"/>
        <w:numPr>
          <w:ilvl w:val="0"/>
          <w:numId w:val="7"/>
        </w:numPr>
        <w:tabs>
          <w:tab w:val="clear" w:pos="1080"/>
        </w:tabs>
        <w:spacing w:after="120"/>
        <w:ind w:left="360"/>
        <w:contextualSpacing w:val="0"/>
        <w:jc w:val="both"/>
        <w:rPr>
          <w:b/>
          <w:caps/>
          <w:sz w:val="22"/>
          <w:szCs w:val="22"/>
        </w:rPr>
      </w:pPr>
      <w:r w:rsidRPr="00373374">
        <w:rPr>
          <w:b/>
          <w:caps/>
          <w:sz w:val="22"/>
          <w:szCs w:val="22"/>
        </w:rPr>
        <w:t>Preliminary Determination</w:t>
      </w:r>
    </w:p>
    <w:p w:rsidR="00A26336" w:rsidRPr="00373374" w:rsidRDefault="00193F10" w:rsidP="00113320">
      <w:pPr>
        <w:widowControl w:val="0"/>
        <w:spacing w:after="120"/>
        <w:rPr>
          <w:sz w:val="22"/>
          <w:szCs w:val="22"/>
        </w:rPr>
      </w:pPr>
      <w:r w:rsidRPr="00373374">
        <w:rPr>
          <w:sz w:val="22"/>
          <w:szCs w:val="22"/>
        </w:rPr>
        <w:t xml:space="preserve">The Department makes a preliminary determination that the proposed project will comply with all applicable state </w:t>
      </w:r>
      <w:r w:rsidR="00CE1B45" w:rsidRPr="00373374">
        <w:rPr>
          <w:sz w:val="22"/>
          <w:szCs w:val="22"/>
        </w:rPr>
        <w:t xml:space="preserve">rules </w:t>
      </w:r>
      <w:r w:rsidRPr="00373374">
        <w:rPr>
          <w:sz w:val="22"/>
          <w:szCs w:val="22"/>
        </w:rPr>
        <w:t>and federal air pollution regulations as conditioned by the draft permit.  This determination is based on a technical review of the complete application, reasonable assurances provided by the applicant, and the conditions specified in the draft permit.  No air quality modeling analysis is required because the project does not result in a sign</w:t>
      </w:r>
      <w:r w:rsidR="005D487C" w:rsidRPr="00373374">
        <w:rPr>
          <w:sz w:val="22"/>
          <w:szCs w:val="22"/>
        </w:rPr>
        <w:t>ificant increase in emissions.</w:t>
      </w:r>
    </w:p>
    <w:p w:rsidR="00157327" w:rsidRPr="00373374" w:rsidRDefault="00E7669A" w:rsidP="000A228C">
      <w:pPr>
        <w:spacing w:after="120"/>
        <w:rPr>
          <w:sz w:val="22"/>
          <w:szCs w:val="22"/>
        </w:rPr>
      </w:pPr>
      <w:r w:rsidRPr="00373374">
        <w:rPr>
          <w:sz w:val="22"/>
          <w:szCs w:val="22"/>
        </w:rPr>
        <w:t xml:space="preserve">Yousry (Joe) Attalla is the project engineer responsible for reviewing the application and drafting the permit.  Additional details of this analysis may be obtained by contacting Mr. Attalla at </w:t>
      </w:r>
      <w:hyperlink r:id="rId44" w:history="1">
        <w:r w:rsidRPr="00373374">
          <w:rPr>
            <w:rStyle w:val="Hyperlink"/>
            <w:sz w:val="22"/>
            <w:szCs w:val="22"/>
          </w:rPr>
          <w:t>yousry.attalla@dep.state.fl.us</w:t>
        </w:r>
      </w:hyperlink>
      <w:r w:rsidRPr="00373374">
        <w:rPr>
          <w:sz w:val="22"/>
          <w:szCs w:val="22"/>
        </w:rPr>
        <w:t xml:space="preserve"> or 850-717-9078 or at the Department’s Office of Permitting and Compliance at Mail Station #5505, 2600 Blair Stone Road, T</w:t>
      </w:r>
      <w:r w:rsidR="00C32F10" w:rsidRPr="00373374">
        <w:rPr>
          <w:sz w:val="22"/>
          <w:szCs w:val="22"/>
        </w:rPr>
        <w:t>allahassee, Florida  32399-240</w:t>
      </w:r>
      <w:r w:rsidR="001C16FC" w:rsidRPr="00373374">
        <w:rPr>
          <w:sz w:val="22"/>
          <w:szCs w:val="22"/>
        </w:rPr>
        <w:t>0.</w:t>
      </w:r>
    </w:p>
    <w:sectPr w:rsidR="00157327" w:rsidRPr="00373374" w:rsidSect="00701AC1">
      <w:headerReference w:type="even" r:id="rId45"/>
      <w:headerReference w:type="default" r:id="rId46"/>
      <w:footerReference w:type="default" r:id="rId47"/>
      <w:headerReference w:type="first" r:id="rId48"/>
      <w:footerReference w:type="first" r:id="rId49"/>
      <w:endnotePr>
        <w:numFmt w:val="decimal"/>
      </w:endnotePr>
      <w:pgSz w:w="12240" w:h="15840" w:code="1"/>
      <w:pgMar w:top="1008" w:right="1008" w:bottom="1008" w:left="1008" w:header="547" w:footer="256"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73374" w:rsidRDefault="00373374">
      <w:r>
        <w:separator/>
      </w:r>
    </w:p>
  </w:endnote>
  <w:endnote w:type="continuationSeparator" w:id="0">
    <w:p w:rsidR="00373374" w:rsidRDefault="0037337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3374" w:rsidRPr="00BE2379" w:rsidRDefault="00373374" w:rsidP="007E5CC1">
    <w:pPr>
      <w:pBdr>
        <w:top w:val="single" w:sz="6" w:space="1" w:color="auto"/>
      </w:pBdr>
      <w:tabs>
        <w:tab w:val="right" w:pos="10350"/>
      </w:tabs>
      <w:spacing w:before="240"/>
      <w:ind w:right="-90"/>
      <w:rPr>
        <w:sz w:val="22"/>
        <w:szCs w:val="22"/>
      </w:rPr>
    </w:pPr>
    <w:r w:rsidRPr="00BE2379">
      <w:rPr>
        <w:sz w:val="22"/>
        <w:szCs w:val="22"/>
      </w:rPr>
      <w:t>Hillsborough County Re</w:t>
    </w:r>
    <w:r>
      <w:rPr>
        <w:sz w:val="22"/>
        <w:szCs w:val="22"/>
      </w:rPr>
      <w:t>source Recovery Facility</w:t>
    </w:r>
    <w:r>
      <w:rPr>
        <w:sz w:val="22"/>
        <w:szCs w:val="22"/>
      </w:rPr>
      <w:tab/>
      <w:t xml:space="preserve">Air Permit </w:t>
    </w:r>
    <w:r w:rsidRPr="00BE2379">
      <w:rPr>
        <w:sz w:val="22"/>
        <w:szCs w:val="22"/>
      </w:rPr>
      <w:t>No. 0</w:t>
    </w:r>
    <w:r>
      <w:rPr>
        <w:sz w:val="22"/>
        <w:szCs w:val="22"/>
      </w:rPr>
      <w:t>570261-016-AC</w:t>
    </w:r>
  </w:p>
  <w:p w:rsidR="00373374" w:rsidRPr="00BE2379" w:rsidRDefault="00373374" w:rsidP="007E5CC1">
    <w:pPr>
      <w:tabs>
        <w:tab w:val="right" w:pos="10350"/>
      </w:tabs>
      <w:spacing w:after="60"/>
      <w:rPr>
        <w:sz w:val="22"/>
        <w:szCs w:val="22"/>
      </w:rPr>
    </w:pPr>
    <w:r>
      <w:rPr>
        <w:sz w:val="22"/>
        <w:szCs w:val="22"/>
      </w:rPr>
      <w:t xml:space="preserve">Use of </w:t>
    </w:r>
    <w:proofErr w:type="spellStart"/>
    <w:r>
      <w:rPr>
        <w:sz w:val="22"/>
        <w:szCs w:val="22"/>
      </w:rPr>
      <w:t>Biosolids</w:t>
    </w:r>
    <w:proofErr w:type="spellEnd"/>
    <w:r>
      <w:rPr>
        <w:sz w:val="22"/>
        <w:szCs w:val="22"/>
      </w:rPr>
      <w:t xml:space="preserve"> and Process Limits</w:t>
    </w:r>
    <w:r>
      <w:rPr>
        <w:sz w:val="22"/>
        <w:szCs w:val="22"/>
      </w:rPr>
      <w:tab/>
      <w:t>PSD-FL-121E and PSD-FL-</w:t>
    </w:r>
    <w:r w:rsidRPr="00BE2379">
      <w:rPr>
        <w:sz w:val="22"/>
        <w:szCs w:val="22"/>
      </w:rPr>
      <w:t>369D</w:t>
    </w:r>
  </w:p>
  <w:p w:rsidR="00373374" w:rsidRPr="009D675A" w:rsidRDefault="00373374">
    <w:pPr>
      <w:pStyle w:val="Footer"/>
      <w:tabs>
        <w:tab w:val="clear" w:pos="4320"/>
        <w:tab w:val="clear" w:pos="8640"/>
      </w:tabs>
      <w:jc w:val="center"/>
      <w:rPr>
        <w:sz w:val="22"/>
        <w:szCs w:val="22"/>
      </w:rPr>
    </w:pPr>
    <w:r w:rsidRPr="00BE2379">
      <w:rPr>
        <w:rStyle w:val="PageNumber"/>
        <w:sz w:val="22"/>
        <w:szCs w:val="22"/>
      </w:rPr>
      <w:t xml:space="preserve">Page </w:t>
    </w:r>
    <w:r w:rsidR="00CB6032" w:rsidRPr="00BE2379">
      <w:rPr>
        <w:rStyle w:val="PageNumber"/>
        <w:sz w:val="22"/>
        <w:szCs w:val="22"/>
      </w:rPr>
      <w:fldChar w:fldCharType="begin"/>
    </w:r>
    <w:r w:rsidRPr="00BE2379">
      <w:rPr>
        <w:rStyle w:val="PageNumber"/>
        <w:sz w:val="22"/>
        <w:szCs w:val="22"/>
      </w:rPr>
      <w:instrText xml:space="preserve"> PAGE </w:instrText>
    </w:r>
    <w:r w:rsidR="00CB6032" w:rsidRPr="00BE2379">
      <w:rPr>
        <w:rStyle w:val="PageNumber"/>
        <w:sz w:val="22"/>
        <w:szCs w:val="22"/>
      </w:rPr>
      <w:fldChar w:fldCharType="separate"/>
    </w:r>
    <w:r w:rsidR="007436D4">
      <w:rPr>
        <w:rStyle w:val="PageNumber"/>
        <w:noProof/>
        <w:sz w:val="22"/>
        <w:szCs w:val="22"/>
      </w:rPr>
      <w:t>2</w:t>
    </w:r>
    <w:r w:rsidR="00CB6032" w:rsidRPr="00BE2379">
      <w:rPr>
        <w:rStyle w:val="PageNumber"/>
        <w:sz w:val="22"/>
        <w:szCs w:val="22"/>
      </w:rPr>
      <w:fldChar w:fldCharType="end"/>
    </w:r>
    <w:r w:rsidRPr="00BE2379">
      <w:rPr>
        <w:rStyle w:val="PageNumber"/>
        <w:sz w:val="22"/>
        <w:szCs w:val="22"/>
      </w:rPr>
      <w:t xml:space="preserve"> of </w:t>
    </w:r>
    <w:r w:rsidR="00CB6032" w:rsidRPr="00BE2379">
      <w:rPr>
        <w:rStyle w:val="PageNumber"/>
        <w:sz w:val="22"/>
        <w:szCs w:val="22"/>
      </w:rPr>
      <w:fldChar w:fldCharType="begin"/>
    </w:r>
    <w:r w:rsidRPr="00BE2379">
      <w:rPr>
        <w:rStyle w:val="PageNumber"/>
        <w:sz w:val="22"/>
        <w:szCs w:val="22"/>
      </w:rPr>
      <w:instrText xml:space="preserve"> NUMPAGES </w:instrText>
    </w:r>
    <w:r w:rsidR="00CB6032" w:rsidRPr="00BE2379">
      <w:rPr>
        <w:rStyle w:val="PageNumber"/>
        <w:sz w:val="22"/>
        <w:szCs w:val="22"/>
      </w:rPr>
      <w:fldChar w:fldCharType="separate"/>
    </w:r>
    <w:r w:rsidR="007436D4">
      <w:rPr>
        <w:rStyle w:val="PageNumber"/>
        <w:noProof/>
        <w:sz w:val="22"/>
        <w:szCs w:val="22"/>
      </w:rPr>
      <w:t>18</w:t>
    </w:r>
    <w:r w:rsidR="00CB6032" w:rsidRPr="00BE2379">
      <w:rPr>
        <w:rStyle w:val="PageNumber"/>
        <w:sz w:val="22"/>
        <w:szCs w:val="22"/>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3374" w:rsidRDefault="0037337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73374" w:rsidRDefault="00373374">
      <w:r>
        <w:separator/>
      </w:r>
    </w:p>
  </w:footnote>
  <w:footnote w:type="continuationSeparator" w:id="0">
    <w:p w:rsidR="00373374" w:rsidRDefault="0037337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3374" w:rsidRDefault="00373374">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3374" w:rsidRDefault="00373374">
    <w:pPr>
      <w:pStyle w:val="Header"/>
      <w:pBdr>
        <w:bottom w:val="single" w:sz="6" w:space="1" w:color="auto"/>
      </w:pBdr>
      <w:spacing w:after="240"/>
      <w:jc w:val="center"/>
      <w:rPr>
        <w:b/>
        <w:caps/>
        <w:sz w:val="22"/>
        <w:u w:val="single"/>
      </w:rPr>
    </w:pPr>
    <w:r>
      <w:rPr>
        <w:b/>
        <w:caps/>
        <w:sz w:val="22"/>
      </w:rPr>
      <w:t>TECHNICAL EVALUATION &amp; PRELIMINARY DETERMINATION</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3374" w:rsidRDefault="00373374">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990A0F"/>
    <w:multiLevelType w:val="hybridMultilevel"/>
    <w:tmpl w:val="153C0D9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0E4C3182"/>
    <w:multiLevelType w:val="hybridMultilevel"/>
    <w:tmpl w:val="44280AB0"/>
    <w:lvl w:ilvl="0" w:tplc="5968442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0234AF6"/>
    <w:multiLevelType w:val="hybridMultilevel"/>
    <w:tmpl w:val="2AD2095E"/>
    <w:lvl w:ilvl="0" w:tplc="F99C8C7E">
      <w:start w:val="1"/>
      <w:numFmt w:val="lowerRoman"/>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61733C3"/>
    <w:multiLevelType w:val="hybridMultilevel"/>
    <w:tmpl w:val="B0AAE7DA"/>
    <w:lvl w:ilvl="0" w:tplc="A55C535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1EEF6980"/>
    <w:multiLevelType w:val="hybridMultilevel"/>
    <w:tmpl w:val="2F8EB250"/>
    <w:lvl w:ilvl="0" w:tplc="59D0E60A">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2297220F"/>
    <w:multiLevelType w:val="hybridMultilevel"/>
    <w:tmpl w:val="C50AB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2A00164"/>
    <w:multiLevelType w:val="hybridMultilevel"/>
    <w:tmpl w:val="ED2E7C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9B11D96"/>
    <w:multiLevelType w:val="hybridMultilevel"/>
    <w:tmpl w:val="F4E4647A"/>
    <w:lvl w:ilvl="0" w:tplc="FD58C4D0">
      <w:start w:val="1"/>
      <w:numFmt w:val="bullet"/>
      <w:pStyle w:val="LFTBullet2"/>
      <w:lvlText w:val="-"/>
      <w:lvlJc w:val="left"/>
      <w:pPr>
        <w:ind w:left="360" w:hanging="360"/>
      </w:pPr>
      <w:rPr>
        <w:rFonts w:ascii="Courier New" w:hAnsi="Courier New" w:hint="default"/>
        <w:b w:val="0"/>
        <w:i w:val="0"/>
        <w:color w:val="1F497D" w:themeColor="text2"/>
        <w:sz w:val="20"/>
      </w:rPr>
    </w:lvl>
    <w:lvl w:ilvl="1" w:tplc="04090003" w:tentative="1">
      <w:start w:val="1"/>
      <w:numFmt w:val="bullet"/>
      <w:lvlText w:val="o"/>
      <w:lvlJc w:val="left"/>
      <w:pPr>
        <w:ind w:left="864" w:hanging="360"/>
      </w:pPr>
      <w:rPr>
        <w:rFonts w:ascii="Courier New" w:hAnsi="Courier New" w:cs="Courier New" w:hint="default"/>
      </w:rPr>
    </w:lvl>
    <w:lvl w:ilvl="2" w:tplc="04090005" w:tentative="1">
      <w:start w:val="1"/>
      <w:numFmt w:val="bullet"/>
      <w:lvlText w:val=""/>
      <w:lvlJc w:val="left"/>
      <w:pPr>
        <w:ind w:left="1584" w:hanging="360"/>
      </w:pPr>
      <w:rPr>
        <w:rFonts w:ascii="Wingdings" w:hAnsi="Wingdings" w:hint="default"/>
      </w:rPr>
    </w:lvl>
    <w:lvl w:ilvl="3" w:tplc="04090001" w:tentative="1">
      <w:start w:val="1"/>
      <w:numFmt w:val="bullet"/>
      <w:lvlText w:val=""/>
      <w:lvlJc w:val="left"/>
      <w:pPr>
        <w:ind w:left="2304" w:hanging="360"/>
      </w:pPr>
      <w:rPr>
        <w:rFonts w:ascii="Symbol" w:hAnsi="Symbol" w:hint="default"/>
      </w:rPr>
    </w:lvl>
    <w:lvl w:ilvl="4" w:tplc="04090003" w:tentative="1">
      <w:start w:val="1"/>
      <w:numFmt w:val="bullet"/>
      <w:lvlText w:val="o"/>
      <w:lvlJc w:val="left"/>
      <w:pPr>
        <w:ind w:left="3024" w:hanging="360"/>
      </w:pPr>
      <w:rPr>
        <w:rFonts w:ascii="Courier New" w:hAnsi="Courier New" w:cs="Courier New" w:hint="default"/>
      </w:rPr>
    </w:lvl>
    <w:lvl w:ilvl="5" w:tplc="04090005" w:tentative="1">
      <w:start w:val="1"/>
      <w:numFmt w:val="bullet"/>
      <w:lvlText w:val=""/>
      <w:lvlJc w:val="left"/>
      <w:pPr>
        <w:ind w:left="3744" w:hanging="360"/>
      </w:pPr>
      <w:rPr>
        <w:rFonts w:ascii="Wingdings" w:hAnsi="Wingdings" w:hint="default"/>
      </w:rPr>
    </w:lvl>
    <w:lvl w:ilvl="6" w:tplc="04090001" w:tentative="1">
      <w:start w:val="1"/>
      <w:numFmt w:val="bullet"/>
      <w:lvlText w:val=""/>
      <w:lvlJc w:val="left"/>
      <w:pPr>
        <w:ind w:left="4464" w:hanging="360"/>
      </w:pPr>
      <w:rPr>
        <w:rFonts w:ascii="Symbol" w:hAnsi="Symbol" w:hint="default"/>
      </w:rPr>
    </w:lvl>
    <w:lvl w:ilvl="7" w:tplc="04090003" w:tentative="1">
      <w:start w:val="1"/>
      <w:numFmt w:val="bullet"/>
      <w:lvlText w:val="o"/>
      <w:lvlJc w:val="left"/>
      <w:pPr>
        <w:ind w:left="5184" w:hanging="360"/>
      </w:pPr>
      <w:rPr>
        <w:rFonts w:ascii="Courier New" w:hAnsi="Courier New" w:cs="Courier New" w:hint="default"/>
      </w:rPr>
    </w:lvl>
    <w:lvl w:ilvl="8" w:tplc="04090005" w:tentative="1">
      <w:start w:val="1"/>
      <w:numFmt w:val="bullet"/>
      <w:lvlText w:val=""/>
      <w:lvlJc w:val="left"/>
      <w:pPr>
        <w:ind w:left="5904" w:hanging="360"/>
      </w:pPr>
      <w:rPr>
        <w:rFonts w:ascii="Wingdings" w:hAnsi="Wingdings" w:hint="default"/>
      </w:rPr>
    </w:lvl>
  </w:abstractNum>
  <w:abstractNum w:abstractNumId="8">
    <w:nsid w:val="2B4667BA"/>
    <w:multiLevelType w:val="hybridMultilevel"/>
    <w:tmpl w:val="811469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BAA5407"/>
    <w:multiLevelType w:val="hybridMultilevel"/>
    <w:tmpl w:val="6C0A1C96"/>
    <w:lvl w:ilvl="0" w:tplc="C452385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E2D2F92"/>
    <w:multiLevelType w:val="hybridMultilevel"/>
    <w:tmpl w:val="B0483D5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1">
    <w:nsid w:val="2F0D3364"/>
    <w:multiLevelType w:val="hybridMultilevel"/>
    <w:tmpl w:val="7234D998"/>
    <w:lvl w:ilvl="0" w:tplc="EBDE38E0">
      <w:start w:val="1"/>
      <w:numFmt w:val="bullet"/>
      <w:pStyle w:val="CDMLetterBULLET"/>
      <w:lvlText w:val=""/>
      <w:lvlJc w:val="left"/>
      <w:pPr>
        <w:ind w:left="936" w:hanging="360"/>
      </w:pPr>
      <w:rPr>
        <w:rFonts w:ascii="Wingdings" w:hAnsi="Wingdings" w:hint="default"/>
        <w:color w:val="1F497D" w:themeColor="text2"/>
        <w:sz w:val="20"/>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2">
    <w:nsid w:val="2FAC0F92"/>
    <w:multiLevelType w:val="hybridMultilevel"/>
    <w:tmpl w:val="05ACDFAC"/>
    <w:lvl w:ilvl="0" w:tplc="EB46845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5355DCA"/>
    <w:multiLevelType w:val="hybridMultilevel"/>
    <w:tmpl w:val="B2F25F7A"/>
    <w:lvl w:ilvl="0" w:tplc="0409000F">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4">
    <w:nsid w:val="361452AA"/>
    <w:multiLevelType w:val="hybridMultilevel"/>
    <w:tmpl w:val="49D6EA6A"/>
    <w:lvl w:ilvl="0" w:tplc="BCA22394">
      <w:start w:val="1"/>
      <w:numFmt w:val="decimal"/>
      <w:lvlText w:val="%1."/>
      <w:lvlJc w:val="left"/>
      <w:pPr>
        <w:ind w:left="702" w:hanging="360"/>
      </w:pPr>
      <w:rPr>
        <w:rFonts w:hint="default"/>
        <w:sz w:val="18"/>
      </w:rPr>
    </w:lvl>
    <w:lvl w:ilvl="1" w:tplc="04090019" w:tentative="1">
      <w:start w:val="1"/>
      <w:numFmt w:val="lowerLetter"/>
      <w:lvlText w:val="%2."/>
      <w:lvlJc w:val="left"/>
      <w:pPr>
        <w:ind w:left="1422" w:hanging="360"/>
      </w:pPr>
    </w:lvl>
    <w:lvl w:ilvl="2" w:tplc="0409001B" w:tentative="1">
      <w:start w:val="1"/>
      <w:numFmt w:val="lowerRoman"/>
      <w:lvlText w:val="%3."/>
      <w:lvlJc w:val="right"/>
      <w:pPr>
        <w:ind w:left="2142" w:hanging="180"/>
      </w:pPr>
    </w:lvl>
    <w:lvl w:ilvl="3" w:tplc="0409000F" w:tentative="1">
      <w:start w:val="1"/>
      <w:numFmt w:val="decimal"/>
      <w:lvlText w:val="%4."/>
      <w:lvlJc w:val="left"/>
      <w:pPr>
        <w:ind w:left="2862" w:hanging="360"/>
      </w:pPr>
    </w:lvl>
    <w:lvl w:ilvl="4" w:tplc="04090019" w:tentative="1">
      <w:start w:val="1"/>
      <w:numFmt w:val="lowerLetter"/>
      <w:lvlText w:val="%5."/>
      <w:lvlJc w:val="left"/>
      <w:pPr>
        <w:ind w:left="3582" w:hanging="360"/>
      </w:pPr>
    </w:lvl>
    <w:lvl w:ilvl="5" w:tplc="0409001B" w:tentative="1">
      <w:start w:val="1"/>
      <w:numFmt w:val="lowerRoman"/>
      <w:lvlText w:val="%6."/>
      <w:lvlJc w:val="right"/>
      <w:pPr>
        <w:ind w:left="4302" w:hanging="180"/>
      </w:pPr>
    </w:lvl>
    <w:lvl w:ilvl="6" w:tplc="0409000F" w:tentative="1">
      <w:start w:val="1"/>
      <w:numFmt w:val="decimal"/>
      <w:lvlText w:val="%7."/>
      <w:lvlJc w:val="left"/>
      <w:pPr>
        <w:ind w:left="5022" w:hanging="360"/>
      </w:pPr>
    </w:lvl>
    <w:lvl w:ilvl="7" w:tplc="04090019" w:tentative="1">
      <w:start w:val="1"/>
      <w:numFmt w:val="lowerLetter"/>
      <w:lvlText w:val="%8."/>
      <w:lvlJc w:val="left"/>
      <w:pPr>
        <w:ind w:left="5742" w:hanging="360"/>
      </w:pPr>
    </w:lvl>
    <w:lvl w:ilvl="8" w:tplc="0409001B" w:tentative="1">
      <w:start w:val="1"/>
      <w:numFmt w:val="lowerRoman"/>
      <w:lvlText w:val="%9."/>
      <w:lvlJc w:val="right"/>
      <w:pPr>
        <w:ind w:left="6462" w:hanging="180"/>
      </w:pPr>
    </w:lvl>
  </w:abstractNum>
  <w:abstractNum w:abstractNumId="15">
    <w:nsid w:val="389A22A9"/>
    <w:multiLevelType w:val="hybridMultilevel"/>
    <w:tmpl w:val="B0AAE7DA"/>
    <w:lvl w:ilvl="0" w:tplc="A55C535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38FB2F11"/>
    <w:multiLevelType w:val="hybridMultilevel"/>
    <w:tmpl w:val="AEFED3D2"/>
    <w:lvl w:ilvl="0" w:tplc="4D44B886">
      <w:start w:val="2"/>
      <w:numFmt w:val="lowerRoman"/>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2C376F1"/>
    <w:multiLevelType w:val="hybridMultilevel"/>
    <w:tmpl w:val="74FC4E9E"/>
    <w:lvl w:ilvl="0" w:tplc="DBEC8944">
      <w:start w:val="2"/>
      <w:numFmt w:val="lowerRoman"/>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419375C"/>
    <w:multiLevelType w:val="hybridMultilevel"/>
    <w:tmpl w:val="094AA7EA"/>
    <w:lvl w:ilvl="0" w:tplc="57A6E0C6">
      <w:start w:val="3"/>
      <w:numFmt w:val="lowerRoman"/>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7124DB6"/>
    <w:multiLevelType w:val="hybridMultilevel"/>
    <w:tmpl w:val="1818D80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48121716"/>
    <w:multiLevelType w:val="hybridMultilevel"/>
    <w:tmpl w:val="ADBA4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9B97850"/>
    <w:multiLevelType w:val="hybridMultilevel"/>
    <w:tmpl w:val="CE867E48"/>
    <w:lvl w:ilvl="0" w:tplc="2A3228F4">
      <w:start w:val="2"/>
      <w:numFmt w:val="lowerRoman"/>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A93359D"/>
    <w:multiLevelType w:val="hybridMultilevel"/>
    <w:tmpl w:val="1A64B32C"/>
    <w:lvl w:ilvl="0" w:tplc="0D9EB70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D3E0AF8"/>
    <w:multiLevelType w:val="hybridMultilevel"/>
    <w:tmpl w:val="F1EA50FC"/>
    <w:lvl w:ilvl="0" w:tplc="CEB2318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D6E3D24"/>
    <w:multiLevelType w:val="hybridMultilevel"/>
    <w:tmpl w:val="AF480DB8"/>
    <w:lvl w:ilvl="0" w:tplc="F99C8C7E">
      <w:start w:val="1"/>
      <w:numFmt w:val="lowerRoman"/>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FD84DD4"/>
    <w:multiLevelType w:val="hybridMultilevel"/>
    <w:tmpl w:val="3E2A5D12"/>
    <w:lvl w:ilvl="0" w:tplc="77A4727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18B766A"/>
    <w:multiLevelType w:val="hybridMultilevel"/>
    <w:tmpl w:val="247CF14A"/>
    <w:lvl w:ilvl="0" w:tplc="59D0E60A">
      <w:start w:val="1"/>
      <w:numFmt w:val="lowerRoman"/>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2053F23"/>
    <w:multiLevelType w:val="hybridMultilevel"/>
    <w:tmpl w:val="E752D08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555319B0"/>
    <w:multiLevelType w:val="hybridMultilevel"/>
    <w:tmpl w:val="949A7A76"/>
    <w:lvl w:ilvl="0" w:tplc="C562F86A">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5BF20FF6"/>
    <w:multiLevelType w:val="hybridMultilevel"/>
    <w:tmpl w:val="01741472"/>
    <w:lvl w:ilvl="0" w:tplc="A55C535E">
      <w:start w:val="1"/>
      <w:numFmt w:val="lowerLetter"/>
      <w:lvlText w:val="(%1)"/>
      <w:lvlJc w:val="left"/>
      <w:pPr>
        <w:ind w:left="144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62406D51"/>
    <w:multiLevelType w:val="hybridMultilevel"/>
    <w:tmpl w:val="F932A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55B1E80"/>
    <w:multiLevelType w:val="multilevel"/>
    <w:tmpl w:val="A0928376"/>
    <w:lvl w:ilvl="0">
      <w:start w:val="1"/>
      <w:numFmt w:val="decimal"/>
      <w:lvlText w:val="%1."/>
      <w:lvlJc w:val="left"/>
      <w:pPr>
        <w:ind w:left="720" w:hanging="360"/>
      </w:pPr>
      <w:rPr>
        <w:rFonts w:hint="default"/>
        <w:sz w:val="22"/>
        <w:szCs w:val="22"/>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2">
    <w:nsid w:val="66411DAA"/>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nsid w:val="675E4C91"/>
    <w:multiLevelType w:val="hybridMultilevel"/>
    <w:tmpl w:val="3A1CD1AE"/>
    <w:lvl w:ilvl="0" w:tplc="CF0C7C88">
      <w:start w:val="2"/>
      <w:numFmt w:val="lowerRoman"/>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CA70E6D"/>
    <w:multiLevelType w:val="hybridMultilevel"/>
    <w:tmpl w:val="56BE4E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D8729EF"/>
    <w:multiLevelType w:val="hybridMultilevel"/>
    <w:tmpl w:val="DEB43188"/>
    <w:lvl w:ilvl="0" w:tplc="04090001">
      <w:start w:val="1"/>
      <w:numFmt w:val="bullet"/>
      <w:lvlText w:val=""/>
      <w:lvlJc w:val="left"/>
      <w:pPr>
        <w:ind w:left="761" w:hanging="360"/>
      </w:pPr>
      <w:rPr>
        <w:rFonts w:ascii="Symbol" w:hAnsi="Symbol" w:hint="default"/>
      </w:rPr>
    </w:lvl>
    <w:lvl w:ilvl="1" w:tplc="04090003" w:tentative="1">
      <w:start w:val="1"/>
      <w:numFmt w:val="bullet"/>
      <w:lvlText w:val="o"/>
      <w:lvlJc w:val="left"/>
      <w:pPr>
        <w:ind w:left="1481" w:hanging="360"/>
      </w:pPr>
      <w:rPr>
        <w:rFonts w:ascii="Courier New" w:hAnsi="Courier New" w:cs="Courier New" w:hint="default"/>
      </w:rPr>
    </w:lvl>
    <w:lvl w:ilvl="2" w:tplc="04090005" w:tentative="1">
      <w:start w:val="1"/>
      <w:numFmt w:val="bullet"/>
      <w:lvlText w:val=""/>
      <w:lvlJc w:val="left"/>
      <w:pPr>
        <w:ind w:left="2201" w:hanging="360"/>
      </w:pPr>
      <w:rPr>
        <w:rFonts w:ascii="Wingdings" w:hAnsi="Wingdings" w:hint="default"/>
      </w:rPr>
    </w:lvl>
    <w:lvl w:ilvl="3" w:tplc="04090001" w:tentative="1">
      <w:start w:val="1"/>
      <w:numFmt w:val="bullet"/>
      <w:lvlText w:val=""/>
      <w:lvlJc w:val="left"/>
      <w:pPr>
        <w:ind w:left="2921" w:hanging="360"/>
      </w:pPr>
      <w:rPr>
        <w:rFonts w:ascii="Symbol" w:hAnsi="Symbol" w:hint="default"/>
      </w:rPr>
    </w:lvl>
    <w:lvl w:ilvl="4" w:tplc="04090003" w:tentative="1">
      <w:start w:val="1"/>
      <w:numFmt w:val="bullet"/>
      <w:lvlText w:val="o"/>
      <w:lvlJc w:val="left"/>
      <w:pPr>
        <w:ind w:left="3641" w:hanging="360"/>
      </w:pPr>
      <w:rPr>
        <w:rFonts w:ascii="Courier New" w:hAnsi="Courier New" w:cs="Courier New" w:hint="default"/>
      </w:rPr>
    </w:lvl>
    <w:lvl w:ilvl="5" w:tplc="04090005" w:tentative="1">
      <w:start w:val="1"/>
      <w:numFmt w:val="bullet"/>
      <w:lvlText w:val=""/>
      <w:lvlJc w:val="left"/>
      <w:pPr>
        <w:ind w:left="4361" w:hanging="360"/>
      </w:pPr>
      <w:rPr>
        <w:rFonts w:ascii="Wingdings" w:hAnsi="Wingdings" w:hint="default"/>
      </w:rPr>
    </w:lvl>
    <w:lvl w:ilvl="6" w:tplc="04090001" w:tentative="1">
      <w:start w:val="1"/>
      <w:numFmt w:val="bullet"/>
      <w:lvlText w:val=""/>
      <w:lvlJc w:val="left"/>
      <w:pPr>
        <w:ind w:left="5081" w:hanging="360"/>
      </w:pPr>
      <w:rPr>
        <w:rFonts w:ascii="Symbol" w:hAnsi="Symbol" w:hint="default"/>
      </w:rPr>
    </w:lvl>
    <w:lvl w:ilvl="7" w:tplc="04090003" w:tentative="1">
      <w:start w:val="1"/>
      <w:numFmt w:val="bullet"/>
      <w:lvlText w:val="o"/>
      <w:lvlJc w:val="left"/>
      <w:pPr>
        <w:ind w:left="5801" w:hanging="360"/>
      </w:pPr>
      <w:rPr>
        <w:rFonts w:ascii="Courier New" w:hAnsi="Courier New" w:cs="Courier New" w:hint="default"/>
      </w:rPr>
    </w:lvl>
    <w:lvl w:ilvl="8" w:tplc="04090005" w:tentative="1">
      <w:start w:val="1"/>
      <w:numFmt w:val="bullet"/>
      <w:lvlText w:val=""/>
      <w:lvlJc w:val="left"/>
      <w:pPr>
        <w:ind w:left="6521" w:hanging="360"/>
      </w:pPr>
      <w:rPr>
        <w:rFonts w:ascii="Wingdings" w:hAnsi="Wingdings" w:hint="default"/>
      </w:rPr>
    </w:lvl>
  </w:abstractNum>
  <w:abstractNum w:abstractNumId="36">
    <w:nsid w:val="725C03F7"/>
    <w:multiLevelType w:val="hybridMultilevel"/>
    <w:tmpl w:val="A678E034"/>
    <w:lvl w:ilvl="0" w:tplc="4CF26F36">
      <w:start w:val="2"/>
      <w:numFmt w:val="lowerRoman"/>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3775ED6"/>
    <w:multiLevelType w:val="hybridMultilevel"/>
    <w:tmpl w:val="0024C3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5157C72"/>
    <w:multiLevelType w:val="hybridMultilevel"/>
    <w:tmpl w:val="5D1ECDF4"/>
    <w:lvl w:ilvl="0" w:tplc="BCA22394">
      <w:start w:val="1"/>
      <w:numFmt w:val="decimal"/>
      <w:lvlText w:val="%1."/>
      <w:lvlJc w:val="left"/>
      <w:pPr>
        <w:ind w:left="702" w:hanging="360"/>
      </w:pPr>
      <w:rPr>
        <w:rFonts w:hint="default"/>
        <w:sz w:val="18"/>
      </w:rPr>
    </w:lvl>
    <w:lvl w:ilvl="1" w:tplc="9E8601CC">
      <w:start w:val="1"/>
      <w:numFmt w:val="decimal"/>
      <w:lvlText w:val="(%2)"/>
      <w:lvlJc w:val="left"/>
      <w:pPr>
        <w:ind w:left="1857" w:hanging="795"/>
      </w:pPr>
      <w:rPr>
        <w:rFonts w:hint="default"/>
      </w:rPr>
    </w:lvl>
    <w:lvl w:ilvl="2" w:tplc="DF6CDCC6">
      <w:start w:val="1"/>
      <w:numFmt w:val="lowerLetter"/>
      <w:lvlText w:val="(%3)"/>
      <w:lvlJc w:val="left"/>
      <w:pPr>
        <w:ind w:left="2322" w:hanging="360"/>
      </w:pPr>
      <w:rPr>
        <w:rFonts w:hint="default"/>
      </w:rPr>
    </w:lvl>
    <w:lvl w:ilvl="3" w:tplc="0409000F" w:tentative="1">
      <w:start w:val="1"/>
      <w:numFmt w:val="decimal"/>
      <w:lvlText w:val="%4."/>
      <w:lvlJc w:val="left"/>
      <w:pPr>
        <w:ind w:left="2862" w:hanging="360"/>
      </w:pPr>
    </w:lvl>
    <w:lvl w:ilvl="4" w:tplc="04090019" w:tentative="1">
      <w:start w:val="1"/>
      <w:numFmt w:val="lowerLetter"/>
      <w:lvlText w:val="%5."/>
      <w:lvlJc w:val="left"/>
      <w:pPr>
        <w:ind w:left="3582" w:hanging="360"/>
      </w:pPr>
    </w:lvl>
    <w:lvl w:ilvl="5" w:tplc="0409001B" w:tentative="1">
      <w:start w:val="1"/>
      <w:numFmt w:val="lowerRoman"/>
      <w:lvlText w:val="%6."/>
      <w:lvlJc w:val="right"/>
      <w:pPr>
        <w:ind w:left="4302" w:hanging="180"/>
      </w:pPr>
    </w:lvl>
    <w:lvl w:ilvl="6" w:tplc="0409000F" w:tentative="1">
      <w:start w:val="1"/>
      <w:numFmt w:val="decimal"/>
      <w:lvlText w:val="%7."/>
      <w:lvlJc w:val="left"/>
      <w:pPr>
        <w:ind w:left="5022" w:hanging="360"/>
      </w:pPr>
    </w:lvl>
    <w:lvl w:ilvl="7" w:tplc="04090019" w:tentative="1">
      <w:start w:val="1"/>
      <w:numFmt w:val="lowerLetter"/>
      <w:lvlText w:val="%8."/>
      <w:lvlJc w:val="left"/>
      <w:pPr>
        <w:ind w:left="5742" w:hanging="360"/>
      </w:pPr>
    </w:lvl>
    <w:lvl w:ilvl="8" w:tplc="0409001B" w:tentative="1">
      <w:start w:val="1"/>
      <w:numFmt w:val="lowerRoman"/>
      <w:lvlText w:val="%9."/>
      <w:lvlJc w:val="right"/>
      <w:pPr>
        <w:ind w:left="6462" w:hanging="180"/>
      </w:pPr>
    </w:lvl>
  </w:abstractNum>
  <w:abstractNum w:abstractNumId="39">
    <w:nsid w:val="76D8100A"/>
    <w:multiLevelType w:val="hybridMultilevel"/>
    <w:tmpl w:val="29504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90B5C8F"/>
    <w:multiLevelType w:val="hybridMultilevel"/>
    <w:tmpl w:val="53901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C8F57E1"/>
    <w:multiLevelType w:val="hybridMultilevel"/>
    <w:tmpl w:val="BD54E836"/>
    <w:lvl w:ilvl="0" w:tplc="A1A0152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7DC1319C"/>
    <w:multiLevelType w:val="hybridMultilevel"/>
    <w:tmpl w:val="80ACED16"/>
    <w:lvl w:ilvl="0" w:tplc="041E2C48">
      <w:start w:val="1"/>
      <w:numFmt w:val="decimal"/>
      <w:lvlText w:val="%1."/>
      <w:lvlJc w:val="left"/>
      <w:pPr>
        <w:tabs>
          <w:tab w:val="num" w:pos="1080"/>
        </w:tabs>
        <w:ind w:left="1080" w:hanging="360"/>
      </w:pPr>
      <w:rPr>
        <w:sz w:val="22"/>
        <w:szCs w:val="22"/>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3">
    <w:nsid w:val="7F8C7E57"/>
    <w:multiLevelType w:val="hybridMultilevel"/>
    <w:tmpl w:val="4170E5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9"/>
  </w:num>
  <w:num w:numId="2">
    <w:abstractNumId w:val="31"/>
  </w:num>
  <w:num w:numId="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num>
  <w:num w:numId="5">
    <w:abstractNumId w:val="7"/>
  </w:num>
  <w:num w:numId="6">
    <w:abstractNumId w:val="40"/>
  </w:num>
  <w:num w:numId="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2"/>
  </w:num>
  <w:num w:numId="9">
    <w:abstractNumId w:val="10"/>
  </w:num>
  <w:num w:numId="10">
    <w:abstractNumId w:val="8"/>
  </w:num>
  <w:num w:numId="11">
    <w:abstractNumId w:val="28"/>
  </w:num>
  <w:num w:numId="12">
    <w:abstractNumId w:val="15"/>
  </w:num>
  <w:num w:numId="13">
    <w:abstractNumId w:val="9"/>
  </w:num>
  <w:num w:numId="14">
    <w:abstractNumId w:val="14"/>
  </w:num>
  <w:num w:numId="15">
    <w:abstractNumId w:val="38"/>
  </w:num>
  <w:num w:numId="16">
    <w:abstractNumId w:val="34"/>
  </w:num>
  <w:num w:numId="17">
    <w:abstractNumId w:val="35"/>
  </w:num>
  <w:num w:numId="18">
    <w:abstractNumId w:val="23"/>
  </w:num>
  <w:num w:numId="19">
    <w:abstractNumId w:val="43"/>
  </w:num>
  <w:num w:numId="20">
    <w:abstractNumId w:val="41"/>
  </w:num>
  <w:num w:numId="21">
    <w:abstractNumId w:val="37"/>
  </w:num>
  <w:num w:numId="22">
    <w:abstractNumId w:val="22"/>
  </w:num>
  <w:num w:numId="23">
    <w:abstractNumId w:val="30"/>
  </w:num>
  <w:num w:numId="24">
    <w:abstractNumId w:val="2"/>
  </w:num>
  <w:num w:numId="25">
    <w:abstractNumId w:val="24"/>
  </w:num>
  <w:num w:numId="26">
    <w:abstractNumId w:val="3"/>
  </w:num>
  <w:num w:numId="27">
    <w:abstractNumId w:val="29"/>
  </w:num>
  <w:num w:numId="28">
    <w:abstractNumId w:val="16"/>
  </w:num>
  <w:num w:numId="29">
    <w:abstractNumId w:val="26"/>
  </w:num>
  <w:num w:numId="30">
    <w:abstractNumId w:val="18"/>
  </w:num>
  <w:num w:numId="31">
    <w:abstractNumId w:val="21"/>
  </w:num>
  <w:num w:numId="32">
    <w:abstractNumId w:val="36"/>
  </w:num>
  <w:num w:numId="33">
    <w:abstractNumId w:val="17"/>
  </w:num>
  <w:num w:numId="34">
    <w:abstractNumId w:val="33"/>
  </w:num>
  <w:num w:numId="35">
    <w:abstractNumId w:val="39"/>
  </w:num>
  <w:num w:numId="36">
    <w:abstractNumId w:val="27"/>
  </w:num>
  <w:num w:numId="37">
    <w:abstractNumId w:val="25"/>
  </w:num>
  <w:num w:numId="38">
    <w:abstractNumId w:val="0"/>
  </w:num>
  <w:num w:numId="39">
    <w:abstractNumId w:val="12"/>
  </w:num>
  <w:num w:numId="40">
    <w:abstractNumId w:val="5"/>
  </w:num>
  <w:num w:numId="41">
    <w:abstractNumId w:val="20"/>
  </w:num>
  <w:num w:numId="42">
    <w:abstractNumId w:val="4"/>
  </w:num>
  <w:num w:numId="43">
    <w:abstractNumId w:val="1"/>
  </w:num>
  <w:num w:numId="44">
    <w:abstractNumId w:val="6"/>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stylePaneFormatFilter w:val="3F01"/>
  <w:defaultTabStop w:val="360"/>
  <w:drawingGridHorizontalSpacing w:val="100"/>
  <w:displayHorizontalDrawingGridEvery w:val="0"/>
  <w:displayVerticalDrawingGridEvery w:val="0"/>
  <w:noPunctuationKerning/>
  <w:characterSpacingControl w:val="doNotCompress"/>
  <w:hdrShapeDefaults>
    <o:shapedefaults v:ext="edit" spidmax="114689" style="mso-height-percent:200;mso-width-relative:margin;mso-height-relative:margin" fill="f" fillcolor="white" stroke="f">
      <v:fill color="white" on="f"/>
      <v:stroke on="f"/>
      <v:textbox style="mso-fit-shape-to-text:t"/>
      <o:colormenu v:ext="edit" strokecolor="none [3212]"/>
    </o:shapedefaults>
  </w:hdrShapeDefaults>
  <w:footnotePr>
    <w:footnote w:id="-1"/>
    <w:footnote w:id="0"/>
  </w:footnotePr>
  <w:endnotePr>
    <w:endnote w:id="-1"/>
    <w:endnote w:id="0"/>
  </w:endnotePr>
  <w:compat/>
  <w:rsids>
    <w:rsidRoot w:val="00193F10"/>
    <w:rsid w:val="00002312"/>
    <w:rsid w:val="00004491"/>
    <w:rsid w:val="000057DD"/>
    <w:rsid w:val="00006F52"/>
    <w:rsid w:val="000072C2"/>
    <w:rsid w:val="00007B3B"/>
    <w:rsid w:val="00007F5D"/>
    <w:rsid w:val="00011EDB"/>
    <w:rsid w:val="00012D7B"/>
    <w:rsid w:val="000142D7"/>
    <w:rsid w:val="000151D0"/>
    <w:rsid w:val="000151E1"/>
    <w:rsid w:val="00015446"/>
    <w:rsid w:val="000160FB"/>
    <w:rsid w:val="00017D02"/>
    <w:rsid w:val="00020913"/>
    <w:rsid w:val="00020941"/>
    <w:rsid w:val="00021D95"/>
    <w:rsid w:val="00022898"/>
    <w:rsid w:val="00023555"/>
    <w:rsid w:val="00023E02"/>
    <w:rsid w:val="00031B36"/>
    <w:rsid w:val="0003215E"/>
    <w:rsid w:val="00032230"/>
    <w:rsid w:val="00032970"/>
    <w:rsid w:val="000358D8"/>
    <w:rsid w:val="00037092"/>
    <w:rsid w:val="000375BA"/>
    <w:rsid w:val="00037F75"/>
    <w:rsid w:val="000418A7"/>
    <w:rsid w:val="00043908"/>
    <w:rsid w:val="00043C64"/>
    <w:rsid w:val="0004557A"/>
    <w:rsid w:val="00046004"/>
    <w:rsid w:val="0004603E"/>
    <w:rsid w:val="00046A3B"/>
    <w:rsid w:val="00046B7E"/>
    <w:rsid w:val="00046E64"/>
    <w:rsid w:val="00047B52"/>
    <w:rsid w:val="00053534"/>
    <w:rsid w:val="00053CFF"/>
    <w:rsid w:val="00055101"/>
    <w:rsid w:val="0005741F"/>
    <w:rsid w:val="000627BF"/>
    <w:rsid w:val="0006370D"/>
    <w:rsid w:val="00065004"/>
    <w:rsid w:val="000658C2"/>
    <w:rsid w:val="000663F7"/>
    <w:rsid w:val="0006667D"/>
    <w:rsid w:val="00066997"/>
    <w:rsid w:val="00066C9A"/>
    <w:rsid w:val="0006765E"/>
    <w:rsid w:val="00067B3B"/>
    <w:rsid w:val="00072438"/>
    <w:rsid w:val="000732A0"/>
    <w:rsid w:val="00073A1F"/>
    <w:rsid w:val="00074340"/>
    <w:rsid w:val="00074E9F"/>
    <w:rsid w:val="00074F4D"/>
    <w:rsid w:val="00076862"/>
    <w:rsid w:val="000804FF"/>
    <w:rsid w:val="00083B9A"/>
    <w:rsid w:val="00086459"/>
    <w:rsid w:val="00086DAB"/>
    <w:rsid w:val="00087A89"/>
    <w:rsid w:val="00087F46"/>
    <w:rsid w:val="0009038F"/>
    <w:rsid w:val="0009047A"/>
    <w:rsid w:val="00090579"/>
    <w:rsid w:val="00090D29"/>
    <w:rsid w:val="000919F1"/>
    <w:rsid w:val="00093DFC"/>
    <w:rsid w:val="000944E9"/>
    <w:rsid w:val="00094A9C"/>
    <w:rsid w:val="00095CDB"/>
    <w:rsid w:val="000965E1"/>
    <w:rsid w:val="000A0B27"/>
    <w:rsid w:val="000A1903"/>
    <w:rsid w:val="000A228C"/>
    <w:rsid w:val="000A37BB"/>
    <w:rsid w:val="000A4331"/>
    <w:rsid w:val="000A4D90"/>
    <w:rsid w:val="000A5C49"/>
    <w:rsid w:val="000B0359"/>
    <w:rsid w:val="000B07C2"/>
    <w:rsid w:val="000B0D0F"/>
    <w:rsid w:val="000B16FF"/>
    <w:rsid w:val="000B1C45"/>
    <w:rsid w:val="000B2A3B"/>
    <w:rsid w:val="000B3948"/>
    <w:rsid w:val="000B3A4E"/>
    <w:rsid w:val="000B4746"/>
    <w:rsid w:val="000B4B28"/>
    <w:rsid w:val="000B5703"/>
    <w:rsid w:val="000B78FD"/>
    <w:rsid w:val="000B799D"/>
    <w:rsid w:val="000C0688"/>
    <w:rsid w:val="000C1B9A"/>
    <w:rsid w:val="000C260E"/>
    <w:rsid w:val="000C2820"/>
    <w:rsid w:val="000C36A0"/>
    <w:rsid w:val="000C3BCD"/>
    <w:rsid w:val="000C5143"/>
    <w:rsid w:val="000C5FF6"/>
    <w:rsid w:val="000C78F2"/>
    <w:rsid w:val="000C7BF3"/>
    <w:rsid w:val="000D04D0"/>
    <w:rsid w:val="000D0C48"/>
    <w:rsid w:val="000D154D"/>
    <w:rsid w:val="000D1CD2"/>
    <w:rsid w:val="000D2C87"/>
    <w:rsid w:val="000D2DEF"/>
    <w:rsid w:val="000D2E4E"/>
    <w:rsid w:val="000D353F"/>
    <w:rsid w:val="000D3F02"/>
    <w:rsid w:val="000D4D0F"/>
    <w:rsid w:val="000D5065"/>
    <w:rsid w:val="000D5ED5"/>
    <w:rsid w:val="000D6084"/>
    <w:rsid w:val="000E1B8C"/>
    <w:rsid w:val="000E42D3"/>
    <w:rsid w:val="000E488F"/>
    <w:rsid w:val="000E51B0"/>
    <w:rsid w:val="000E56C4"/>
    <w:rsid w:val="000E6775"/>
    <w:rsid w:val="000F126B"/>
    <w:rsid w:val="000F3667"/>
    <w:rsid w:val="000F5FB0"/>
    <w:rsid w:val="000F6726"/>
    <w:rsid w:val="000F6D43"/>
    <w:rsid w:val="000F7969"/>
    <w:rsid w:val="000F7C37"/>
    <w:rsid w:val="000F7CE8"/>
    <w:rsid w:val="000F7DBF"/>
    <w:rsid w:val="00101937"/>
    <w:rsid w:val="001041D9"/>
    <w:rsid w:val="00104713"/>
    <w:rsid w:val="0010617F"/>
    <w:rsid w:val="00111453"/>
    <w:rsid w:val="00113320"/>
    <w:rsid w:val="00113C38"/>
    <w:rsid w:val="0011519C"/>
    <w:rsid w:val="00115D98"/>
    <w:rsid w:val="00116395"/>
    <w:rsid w:val="0011640D"/>
    <w:rsid w:val="00116D80"/>
    <w:rsid w:val="00116E0D"/>
    <w:rsid w:val="0012039C"/>
    <w:rsid w:val="00121AE5"/>
    <w:rsid w:val="00121B9D"/>
    <w:rsid w:val="00122D2A"/>
    <w:rsid w:val="001241CC"/>
    <w:rsid w:val="0012587F"/>
    <w:rsid w:val="00126A5D"/>
    <w:rsid w:val="00126CFB"/>
    <w:rsid w:val="00130938"/>
    <w:rsid w:val="00132844"/>
    <w:rsid w:val="00136167"/>
    <w:rsid w:val="00140CD4"/>
    <w:rsid w:val="00141916"/>
    <w:rsid w:val="00143472"/>
    <w:rsid w:val="00146309"/>
    <w:rsid w:val="00150308"/>
    <w:rsid w:val="00150B1E"/>
    <w:rsid w:val="001521D7"/>
    <w:rsid w:val="00152263"/>
    <w:rsid w:val="00152290"/>
    <w:rsid w:val="00152912"/>
    <w:rsid w:val="00154143"/>
    <w:rsid w:val="001558A3"/>
    <w:rsid w:val="00155EB4"/>
    <w:rsid w:val="001561E2"/>
    <w:rsid w:val="001562C2"/>
    <w:rsid w:val="00157327"/>
    <w:rsid w:val="00157ADC"/>
    <w:rsid w:val="00160E3A"/>
    <w:rsid w:val="00164981"/>
    <w:rsid w:val="00164E03"/>
    <w:rsid w:val="0016570E"/>
    <w:rsid w:val="001663E8"/>
    <w:rsid w:val="00170FA8"/>
    <w:rsid w:val="00173142"/>
    <w:rsid w:val="00173231"/>
    <w:rsid w:val="001746FB"/>
    <w:rsid w:val="0017708A"/>
    <w:rsid w:val="001771DC"/>
    <w:rsid w:val="0018038C"/>
    <w:rsid w:val="00183116"/>
    <w:rsid w:val="00184076"/>
    <w:rsid w:val="0018450D"/>
    <w:rsid w:val="00184E95"/>
    <w:rsid w:val="00187FDE"/>
    <w:rsid w:val="0019324B"/>
    <w:rsid w:val="00193F10"/>
    <w:rsid w:val="00194AA6"/>
    <w:rsid w:val="00195A07"/>
    <w:rsid w:val="00195E4E"/>
    <w:rsid w:val="00195ED8"/>
    <w:rsid w:val="001A0455"/>
    <w:rsid w:val="001A47E3"/>
    <w:rsid w:val="001A5F58"/>
    <w:rsid w:val="001A668A"/>
    <w:rsid w:val="001A7E4F"/>
    <w:rsid w:val="001B0085"/>
    <w:rsid w:val="001B03AC"/>
    <w:rsid w:val="001B04F5"/>
    <w:rsid w:val="001B0A0B"/>
    <w:rsid w:val="001B0ACE"/>
    <w:rsid w:val="001B102B"/>
    <w:rsid w:val="001B1305"/>
    <w:rsid w:val="001B2D24"/>
    <w:rsid w:val="001B338B"/>
    <w:rsid w:val="001B37A7"/>
    <w:rsid w:val="001B383D"/>
    <w:rsid w:val="001B3C58"/>
    <w:rsid w:val="001B45E7"/>
    <w:rsid w:val="001B535E"/>
    <w:rsid w:val="001B645D"/>
    <w:rsid w:val="001B6B1F"/>
    <w:rsid w:val="001B738B"/>
    <w:rsid w:val="001C08E7"/>
    <w:rsid w:val="001C0FF4"/>
    <w:rsid w:val="001C16FC"/>
    <w:rsid w:val="001C18E3"/>
    <w:rsid w:val="001C4E37"/>
    <w:rsid w:val="001C50A0"/>
    <w:rsid w:val="001C522F"/>
    <w:rsid w:val="001C5D88"/>
    <w:rsid w:val="001C6CDC"/>
    <w:rsid w:val="001D00F8"/>
    <w:rsid w:val="001D0595"/>
    <w:rsid w:val="001D0B61"/>
    <w:rsid w:val="001D0DA9"/>
    <w:rsid w:val="001D1214"/>
    <w:rsid w:val="001D1649"/>
    <w:rsid w:val="001D27C1"/>
    <w:rsid w:val="001D2B67"/>
    <w:rsid w:val="001D37CF"/>
    <w:rsid w:val="001D3CF8"/>
    <w:rsid w:val="001D3FDF"/>
    <w:rsid w:val="001D42E3"/>
    <w:rsid w:val="001D487F"/>
    <w:rsid w:val="001D5497"/>
    <w:rsid w:val="001D5CA1"/>
    <w:rsid w:val="001D6754"/>
    <w:rsid w:val="001D6C70"/>
    <w:rsid w:val="001D6F11"/>
    <w:rsid w:val="001D720F"/>
    <w:rsid w:val="001D7226"/>
    <w:rsid w:val="001D7CAE"/>
    <w:rsid w:val="001E0F64"/>
    <w:rsid w:val="001E2CD6"/>
    <w:rsid w:val="001E6A81"/>
    <w:rsid w:val="001E77F9"/>
    <w:rsid w:val="001F0D5C"/>
    <w:rsid w:val="001F2738"/>
    <w:rsid w:val="001F2C98"/>
    <w:rsid w:val="001F2FFD"/>
    <w:rsid w:val="001F367F"/>
    <w:rsid w:val="001F49BA"/>
    <w:rsid w:val="001F5223"/>
    <w:rsid w:val="001F6DD5"/>
    <w:rsid w:val="001F7FF9"/>
    <w:rsid w:val="00200188"/>
    <w:rsid w:val="0020024F"/>
    <w:rsid w:val="002013E3"/>
    <w:rsid w:val="00201525"/>
    <w:rsid w:val="00201712"/>
    <w:rsid w:val="00201860"/>
    <w:rsid w:val="00201E23"/>
    <w:rsid w:val="002035FF"/>
    <w:rsid w:val="00204317"/>
    <w:rsid w:val="0020440A"/>
    <w:rsid w:val="00204B89"/>
    <w:rsid w:val="00207746"/>
    <w:rsid w:val="00210012"/>
    <w:rsid w:val="00210DDE"/>
    <w:rsid w:val="00210E83"/>
    <w:rsid w:val="00210FC5"/>
    <w:rsid w:val="002116F1"/>
    <w:rsid w:val="0021186D"/>
    <w:rsid w:val="00212432"/>
    <w:rsid w:val="00214381"/>
    <w:rsid w:val="002154F5"/>
    <w:rsid w:val="00220A62"/>
    <w:rsid w:val="002225DD"/>
    <w:rsid w:val="00222A1A"/>
    <w:rsid w:val="00224ED0"/>
    <w:rsid w:val="002251F5"/>
    <w:rsid w:val="00226019"/>
    <w:rsid w:val="00230BBA"/>
    <w:rsid w:val="00231177"/>
    <w:rsid w:val="00232966"/>
    <w:rsid w:val="00232D43"/>
    <w:rsid w:val="00233013"/>
    <w:rsid w:val="002353E4"/>
    <w:rsid w:val="00235535"/>
    <w:rsid w:val="002365E5"/>
    <w:rsid w:val="00236991"/>
    <w:rsid w:val="00241C2E"/>
    <w:rsid w:val="002453FA"/>
    <w:rsid w:val="00246105"/>
    <w:rsid w:val="00246637"/>
    <w:rsid w:val="0024677D"/>
    <w:rsid w:val="00246CC8"/>
    <w:rsid w:val="0024707B"/>
    <w:rsid w:val="00247085"/>
    <w:rsid w:val="00251EAC"/>
    <w:rsid w:val="002520AB"/>
    <w:rsid w:val="00255451"/>
    <w:rsid w:val="002554AD"/>
    <w:rsid w:val="002568B0"/>
    <w:rsid w:val="002664C8"/>
    <w:rsid w:val="00267993"/>
    <w:rsid w:val="00267F6B"/>
    <w:rsid w:val="00270A4F"/>
    <w:rsid w:val="00270C1B"/>
    <w:rsid w:val="0027191B"/>
    <w:rsid w:val="00272006"/>
    <w:rsid w:val="0027299E"/>
    <w:rsid w:val="00272F6E"/>
    <w:rsid w:val="002746ED"/>
    <w:rsid w:val="002808B1"/>
    <w:rsid w:val="00281072"/>
    <w:rsid w:val="00281648"/>
    <w:rsid w:val="00282458"/>
    <w:rsid w:val="00282DB5"/>
    <w:rsid w:val="002844FE"/>
    <w:rsid w:val="00286318"/>
    <w:rsid w:val="0029016A"/>
    <w:rsid w:val="0029193E"/>
    <w:rsid w:val="00291C58"/>
    <w:rsid w:val="002922B5"/>
    <w:rsid w:val="002952AF"/>
    <w:rsid w:val="00296DB3"/>
    <w:rsid w:val="002977DB"/>
    <w:rsid w:val="002A0A52"/>
    <w:rsid w:val="002A1412"/>
    <w:rsid w:val="002A1A80"/>
    <w:rsid w:val="002A20D9"/>
    <w:rsid w:val="002A28C2"/>
    <w:rsid w:val="002A2A2C"/>
    <w:rsid w:val="002A621C"/>
    <w:rsid w:val="002A65FB"/>
    <w:rsid w:val="002B08BF"/>
    <w:rsid w:val="002B181A"/>
    <w:rsid w:val="002B41B0"/>
    <w:rsid w:val="002B4B9F"/>
    <w:rsid w:val="002B5D58"/>
    <w:rsid w:val="002C06C1"/>
    <w:rsid w:val="002C1DF8"/>
    <w:rsid w:val="002C28F5"/>
    <w:rsid w:val="002C3B01"/>
    <w:rsid w:val="002C44C9"/>
    <w:rsid w:val="002C4C0B"/>
    <w:rsid w:val="002C5688"/>
    <w:rsid w:val="002C596F"/>
    <w:rsid w:val="002C5A84"/>
    <w:rsid w:val="002C6279"/>
    <w:rsid w:val="002C7074"/>
    <w:rsid w:val="002D01C6"/>
    <w:rsid w:val="002D72EB"/>
    <w:rsid w:val="002D789A"/>
    <w:rsid w:val="002E0991"/>
    <w:rsid w:val="002E3ED9"/>
    <w:rsid w:val="002E58E0"/>
    <w:rsid w:val="002E6300"/>
    <w:rsid w:val="002E684B"/>
    <w:rsid w:val="002E7E71"/>
    <w:rsid w:val="002F0E6E"/>
    <w:rsid w:val="002F2EB9"/>
    <w:rsid w:val="002F34EA"/>
    <w:rsid w:val="002F59AD"/>
    <w:rsid w:val="002F7329"/>
    <w:rsid w:val="002F7C25"/>
    <w:rsid w:val="00300B0E"/>
    <w:rsid w:val="00301798"/>
    <w:rsid w:val="00301C7D"/>
    <w:rsid w:val="00302267"/>
    <w:rsid w:val="00304079"/>
    <w:rsid w:val="00307482"/>
    <w:rsid w:val="00310044"/>
    <w:rsid w:val="0031026F"/>
    <w:rsid w:val="00311391"/>
    <w:rsid w:val="003125C5"/>
    <w:rsid w:val="00312EFD"/>
    <w:rsid w:val="00313EEE"/>
    <w:rsid w:val="0031681A"/>
    <w:rsid w:val="003223DF"/>
    <w:rsid w:val="0032284C"/>
    <w:rsid w:val="00322DD0"/>
    <w:rsid w:val="00323568"/>
    <w:rsid w:val="00323D43"/>
    <w:rsid w:val="00325A6D"/>
    <w:rsid w:val="00327B28"/>
    <w:rsid w:val="00332136"/>
    <w:rsid w:val="0033363A"/>
    <w:rsid w:val="0033463E"/>
    <w:rsid w:val="00334D3E"/>
    <w:rsid w:val="00335DFC"/>
    <w:rsid w:val="003363FD"/>
    <w:rsid w:val="00337D0A"/>
    <w:rsid w:val="00341BDD"/>
    <w:rsid w:val="0034315E"/>
    <w:rsid w:val="003440FC"/>
    <w:rsid w:val="003448FA"/>
    <w:rsid w:val="00346552"/>
    <w:rsid w:val="003468EC"/>
    <w:rsid w:val="0034713C"/>
    <w:rsid w:val="00347814"/>
    <w:rsid w:val="00347F3D"/>
    <w:rsid w:val="00347F9D"/>
    <w:rsid w:val="00350E0C"/>
    <w:rsid w:val="00351CA8"/>
    <w:rsid w:val="00353A72"/>
    <w:rsid w:val="00355112"/>
    <w:rsid w:val="00355321"/>
    <w:rsid w:val="00355609"/>
    <w:rsid w:val="00360260"/>
    <w:rsid w:val="00361697"/>
    <w:rsid w:val="00361A47"/>
    <w:rsid w:val="00361BF5"/>
    <w:rsid w:val="003626E1"/>
    <w:rsid w:val="003627E6"/>
    <w:rsid w:val="00362B27"/>
    <w:rsid w:val="003633CE"/>
    <w:rsid w:val="00364EEF"/>
    <w:rsid w:val="00365491"/>
    <w:rsid w:val="00365BDE"/>
    <w:rsid w:val="00366005"/>
    <w:rsid w:val="00372801"/>
    <w:rsid w:val="00372823"/>
    <w:rsid w:val="00372DB6"/>
    <w:rsid w:val="00373374"/>
    <w:rsid w:val="003733BF"/>
    <w:rsid w:val="00373EEF"/>
    <w:rsid w:val="00374789"/>
    <w:rsid w:val="003749F7"/>
    <w:rsid w:val="00375025"/>
    <w:rsid w:val="00377CB5"/>
    <w:rsid w:val="00380544"/>
    <w:rsid w:val="003807BC"/>
    <w:rsid w:val="00380D68"/>
    <w:rsid w:val="00381D48"/>
    <w:rsid w:val="00382F8D"/>
    <w:rsid w:val="003830C0"/>
    <w:rsid w:val="003837C3"/>
    <w:rsid w:val="00384481"/>
    <w:rsid w:val="00384B8D"/>
    <w:rsid w:val="00384F0C"/>
    <w:rsid w:val="003857C9"/>
    <w:rsid w:val="003858DE"/>
    <w:rsid w:val="003867CB"/>
    <w:rsid w:val="003913B7"/>
    <w:rsid w:val="003919BB"/>
    <w:rsid w:val="00391DA7"/>
    <w:rsid w:val="003922C2"/>
    <w:rsid w:val="00392B47"/>
    <w:rsid w:val="0039482F"/>
    <w:rsid w:val="00395DD9"/>
    <w:rsid w:val="003960D3"/>
    <w:rsid w:val="003A04F2"/>
    <w:rsid w:val="003A13F3"/>
    <w:rsid w:val="003A28FA"/>
    <w:rsid w:val="003A35FC"/>
    <w:rsid w:val="003A3C29"/>
    <w:rsid w:val="003A4082"/>
    <w:rsid w:val="003A4169"/>
    <w:rsid w:val="003A6881"/>
    <w:rsid w:val="003A694C"/>
    <w:rsid w:val="003A7B2E"/>
    <w:rsid w:val="003B072D"/>
    <w:rsid w:val="003B13E6"/>
    <w:rsid w:val="003B1E0A"/>
    <w:rsid w:val="003B2067"/>
    <w:rsid w:val="003B4E1A"/>
    <w:rsid w:val="003B4E2E"/>
    <w:rsid w:val="003B58A9"/>
    <w:rsid w:val="003C2709"/>
    <w:rsid w:val="003C2A83"/>
    <w:rsid w:val="003C2DCB"/>
    <w:rsid w:val="003C2E6A"/>
    <w:rsid w:val="003C2FB6"/>
    <w:rsid w:val="003C3D95"/>
    <w:rsid w:val="003C7122"/>
    <w:rsid w:val="003D4B6A"/>
    <w:rsid w:val="003D7692"/>
    <w:rsid w:val="003E1B8D"/>
    <w:rsid w:val="003E33DA"/>
    <w:rsid w:val="003E46DC"/>
    <w:rsid w:val="003E4B8C"/>
    <w:rsid w:val="003E504C"/>
    <w:rsid w:val="003E6252"/>
    <w:rsid w:val="003E683A"/>
    <w:rsid w:val="003E6FDC"/>
    <w:rsid w:val="003F027C"/>
    <w:rsid w:val="003F17D3"/>
    <w:rsid w:val="003F1AFB"/>
    <w:rsid w:val="003F1D4F"/>
    <w:rsid w:val="003F1FC8"/>
    <w:rsid w:val="003F2CEC"/>
    <w:rsid w:val="003F6D3A"/>
    <w:rsid w:val="00400096"/>
    <w:rsid w:val="004003D6"/>
    <w:rsid w:val="00400AFB"/>
    <w:rsid w:val="00401E2C"/>
    <w:rsid w:val="004022EC"/>
    <w:rsid w:val="004023B7"/>
    <w:rsid w:val="0040283C"/>
    <w:rsid w:val="004028AD"/>
    <w:rsid w:val="00402EB4"/>
    <w:rsid w:val="00403432"/>
    <w:rsid w:val="00404361"/>
    <w:rsid w:val="00404E59"/>
    <w:rsid w:val="00406714"/>
    <w:rsid w:val="00406982"/>
    <w:rsid w:val="00406A43"/>
    <w:rsid w:val="00406BEB"/>
    <w:rsid w:val="0041143A"/>
    <w:rsid w:val="004116CC"/>
    <w:rsid w:val="00411E46"/>
    <w:rsid w:val="004124D0"/>
    <w:rsid w:val="00412CE4"/>
    <w:rsid w:val="00412DFF"/>
    <w:rsid w:val="00415B61"/>
    <w:rsid w:val="00415BFF"/>
    <w:rsid w:val="00415E3C"/>
    <w:rsid w:val="00420601"/>
    <w:rsid w:val="00421636"/>
    <w:rsid w:val="00422D5E"/>
    <w:rsid w:val="00422D74"/>
    <w:rsid w:val="0042318A"/>
    <w:rsid w:val="00423D4D"/>
    <w:rsid w:val="00424496"/>
    <w:rsid w:val="00430CAC"/>
    <w:rsid w:val="0043123B"/>
    <w:rsid w:val="0043308F"/>
    <w:rsid w:val="00434D45"/>
    <w:rsid w:val="00435678"/>
    <w:rsid w:val="00437D37"/>
    <w:rsid w:val="004414F2"/>
    <w:rsid w:val="00442626"/>
    <w:rsid w:val="004441CA"/>
    <w:rsid w:val="0044475E"/>
    <w:rsid w:val="0044650A"/>
    <w:rsid w:val="00446FE7"/>
    <w:rsid w:val="00450652"/>
    <w:rsid w:val="00450B4B"/>
    <w:rsid w:val="00453B02"/>
    <w:rsid w:val="004561EA"/>
    <w:rsid w:val="004563A8"/>
    <w:rsid w:val="00456ACE"/>
    <w:rsid w:val="00457420"/>
    <w:rsid w:val="00460B16"/>
    <w:rsid w:val="00460CED"/>
    <w:rsid w:val="00460F39"/>
    <w:rsid w:val="0046588C"/>
    <w:rsid w:val="00466850"/>
    <w:rsid w:val="00467307"/>
    <w:rsid w:val="00470B2E"/>
    <w:rsid w:val="004712C7"/>
    <w:rsid w:val="0047172D"/>
    <w:rsid w:val="004729C0"/>
    <w:rsid w:val="00472DBD"/>
    <w:rsid w:val="0047402C"/>
    <w:rsid w:val="00474EB0"/>
    <w:rsid w:val="004752DC"/>
    <w:rsid w:val="004768BB"/>
    <w:rsid w:val="00477185"/>
    <w:rsid w:val="00477E96"/>
    <w:rsid w:val="00480881"/>
    <w:rsid w:val="00480E64"/>
    <w:rsid w:val="00481A67"/>
    <w:rsid w:val="00482B4F"/>
    <w:rsid w:val="0048333C"/>
    <w:rsid w:val="0048348E"/>
    <w:rsid w:val="0048416C"/>
    <w:rsid w:val="00484B5A"/>
    <w:rsid w:val="00484C33"/>
    <w:rsid w:val="00485632"/>
    <w:rsid w:val="0048684C"/>
    <w:rsid w:val="00486BE3"/>
    <w:rsid w:val="0049181B"/>
    <w:rsid w:val="0049183E"/>
    <w:rsid w:val="00491F87"/>
    <w:rsid w:val="004929F4"/>
    <w:rsid w:val="00492EEE"/>
    <w:rsid w:val="00493E20"/>
    <w:rsid w:val="004942CC"/>
    <w:rsid w:val="0049481E"/>
    <w:rsid w:val="00494C45"/>
    <w:rsid w:val="004955F2"/>
    <w:rsid w:val="0049644C"/>
    <w:rsid w:val="00496AF6"/>
    <w:rsid w:val="00497205"/>
    <w:rsid w:val="004A01BA"/>
    <w:rsid w:val="004A0FB1"/>
    <w:rsid w:val="004A102D"/>
    <w:rsid w:val="004A1B62"/>
    <w:rsid w:val="004A5434"/>
    <w:rsid w:val="004A7763"/>
    <w:rsid w:val="004B01CA"/>
    <w:rsid w:val="004B1952"/>
    <w:rsid w:val="004B3237"/>
    <w:rsid w:val="004B3B1E"/>
    <w:rsid w:val="004B5185"/>
    <w:rsid w:val="004B5673"/>
    <w:rsid w:val="004B6E58"/>
    <w:rsid w:val="004C04E1"/>
    <w:rsid w:val="004C0984"/>
    <w:rsid w:val="004C0E8C"/>
    <w:rsid w:val="004C3D4C"/>
    <w:rsid w:val="004C44D9"/>
    <w:rsid w:val="004C7266"/>
    <w:rsid w:val="004D0097"/>
    <w:rsid w:val="004D0C97"/>
    <w:rsid w:val="004D11BB"/>
    <w:rsid w:val="004D1D9F"/>
    <w:rsid w:val="004D29BA"/>
    <w:rsid w:val="004D398E"/>
    <w:rsid w:val="004D5E18"/>
    <w:rsid w:val="004D675A"/>
    <w:rsid w:val="004D6993"/>
    <w:rsid w:val="004D6CC1"/>
    <w:rsid w:val="004D79F3"/>
    <w:rsid w:val="004E0179"/>
    <w:rsid w:val="004E0689"/>
    <w:rsid w:val="004E2196"/>
    <w:rsid w:val="004E21DD"/>
    <w:rsid w:val="004E2F0E"/>
    <w:rsid w:val="004E32B4"/>
    <w:rsid w:val="004E48C8"/>
    <w:rsid w:val="004E4E84"/>
    <w:rsid w:val="004E50C9"/>
    <w:rsid w:val="004E5131"/>
    <w:rsid w:val="004E5EB7"/>
    <w:rsid w:val="004E7471"/>
    <w:rsid w:val="004F0511"/>
    <w:rsid w:val="004F08D6"/>
    <w:rsid w:val="004F1B2D"/>
    <w:rsid w:val="004F34FB"/>
    <w:rsid w:val="004F3892"/>
    <w:rsid w:val="004F3BB8"/>
    <w:rsid w:val="004F49BD"/>
    <w:rsid w:val="004F4A8F"/>
    <w:rsid w:val="004F4CC1"/>
    <w:rsid w:val="004F56DD"/>
    <w:rsid w:val="004F7514"/>
    <w:rsid w:val="004F7BD6"/>
    <w:rsid w:val="0050023A"/>
    <w:rsid w:val="00500371"/>
    <w:rsid w:val="00501575"/>
    <w:rsid w:val="00501F01"/>
    <w:rsid w:val="005020B0"/>
    <w:rsid w:val="005020C0"/>
    <w:rsid w:val="005044E8"/>
    <w:rsid w:val="00504ACB"/>
    <w:rsid w:val="00504D07"/>
    <w:rsid w:val="0050581D"/>
    <w:rsid w:val="00510A79"/>
    <w:rsid w:val="00512308"/>
    <w:rsid w:val="00513CD5"/>
    <w:rsid w:val="005147D9"/>
    <w:rsid w:val="00514D97"/>
    <w:rsid w:val="00516998"/>
    <w:rsid w:val="005179B9"/>
    <w:rsid w:val="00520151"/>
    <w:rsid w:val="0052092A"/>
    <w:rsid w:val="0052164B"/>
    <w:rsid w:val="00522578"/>
    <w:rsid w:val="00523055"/>
    <w:rsid w:val="00523146"/>
    <w:rsid w:val="0052314D"/>
    <w:rsid w:val="005233CF"/>
    <w:rsid w:val="00523950"/>
    <w:rsid w:val="00524C47"/>
    <w:rsid w:val="00525A52"/>
    <w:rsid w:val="00526CCE"/>
    <w:rsid w:val="005271C9"/>
    <w:rsid w:val="005271E8"/>
    <w:rsid w:val="0052757D"/>
    <w:rsid w:val="00527CB9"/>
    <w:rsid w:val="00530D7A"/>
    <w:rsid w:val="00532B56"/>
    <w:rsid w:val="00532FC9"/>
    <w:rsid w:val="00535528"/>
    <w:rsid w:val="00535614"/>
    <w:rsid w:val="00537369"/>
    <w:rsid w:val="00542036"/>
    <w:rsid w:val="005441F6"/>
    <w:rsid w:val="00544A8A"/>
    <w:rsid w:val="00545E7C"/>
    <w:rsid w:val="00546A5F"/>
    <w:rsid w:val="0055099D"/>
    <w:rsid w:val="00550C29"/>
    <w:rsid w:val="00552BA4"/>
    <w:rsid w:val="0055325A"/>
    <w:rsid w:val="00556233"/>
    <w:rsid w:val="005568B9"/>
    <w:rsid w:val="005572D3"/>
    <w:rsid w:val="00563300"/>
    <w:rsid w:val="00563468"/>
    <w:rsid w:val="005642A9"/>
    <w:rsid w:val="0056436B"/>
    <w:rsid w:val="00565226"/>
    <w:rsid w:val="0056564E"/>
    <w:rsid w:val="00565968"/>
    <w:rsid w:val="00566942"/>
    <w:rsid w:val="0056777E"/>
    <w:rsid w:val="00567C93"/>
    <w:rsid w:val="005701FA"/>
    <w:rsid w:val="00570964"/>
    <w:rsid w:val="00571EC9"/>
    <w:rsid w:val="00572470"/>
    <w:rsid w:val="005733EF"/>
    <w:rsid w:val="00573584"/>
    <w:rsid w:val="00573D01"/>
    <w:rsid w:val="00575ECC"/>
    <w:rsid w:val="0057638D"/>
    <w:rsid w:val="0058434F"/>
    <w:rsid w:val="005869EC"/>
    <w:rsid w:val="00586B45"/>
    <w:rsid w:val="00587CC5"/>
    <w:rsid w:val="005917FA"/>
    <w:rsid w:val="00592509"/>
    <w:rsid w:val="00592670"/>
    <w:rsid w:val="00592F36"/>
    <w:rsid w:val="0059414C"/>
    <w:rsid w:val="00594435"/>
    <w:rsid w:val="00595C7E"/>
    <w:rsid w:val="00597133"/>
    <w:rsid w:val="005A07D9"/>
    <w:rsid w:val="005A1E27"/>
    <w:rsid w:val="005A1FF5"/>
    <w:rsid w:val="005A5172"/>
    <w:rsid w:val="005A72B1"/>
    <w:rsid w:val="005A7B7E"/>
    <w:rsid w:val="005B00EC"/>
    <w:rsid w:val="005B26DA"/>
    <w:rsid w:val="005B2A9C"/>
    <w:rsid w:val="005B411F"/>
    <w:rsid w:val="005B4EE8"/>
    <w:rsid w:val="005B5A21"/>
    <w:rsid w:val="005B5DA4"/>
    <w:rsid w:val="005B5DD5"/>
    <w:rsid w:val="005C021D"/>
    <w:rsid w:val="005C0279"/>
    <w:rsid w:val="005C0410"/>
    <w:rsid w:val="005C0C18"/>
    <w:rsid w:val="005C247B"/>
    <w:rsid w:val="005C3722"/>
    <w:rsid w:val="005C41D4"/>
    <w:rsid w:val="005C4CA3"/>
    <w:rsid w:val="005C54D8"/>
    <w:rsid w:val="005C58AC"/>
    <w:rsid w:val="005C6DCB"/>
    <w:rsid w:val="005C7861"/>
    <w:rsid w:val="005C7DCF"/>
    <w:rsid w:val="005D076F"/>
    <w:rsid w:val="005D21AB"/>
    <w:rsid w:val="005D487C"/>
    <w:rsid w:val="005D5F84"/>
    <w:rsid w:val="005D66ED"/>
    <w:rsid w:val="005D738A"/>
    <w:rsid w:val="005D75E9"/>
    <w:rsid w:val="005D7C7A"/>
    <w:rsid w:val="005E0DCD"/>
    <w:rsid w:val="005E0E2E"/>
    <w:rsid w:val="005E18CD"/>
    <w:rsid w:val="005E2993"/>
    <w:rsid w:val="005E2CAA"/>
    <w:rsid w:val="005E2D72"/>
    <w:rsid w:val="005E34B9"/>
    <w:rsid w:val="005E36E4"/>
    <w:rsid w:val="005E37FA"/>
    <w:rsid w:val="005E4679"/>
    <w:rsid w:val="005F19B8"/>
    <w:rsid w:val="005F2361"/>
    <w:rsid w:val="005F434C"/>
    <w:rsid w:val="005F4B16"/>
    <w:rsid w:val="005F6361"/>
    <w:rsid w:val="005F6D27"/>
    <w:rsid w:val="005F7B08"/>
    <w:rsid w:val="0060070A"/>
    <w:rsid w:val="00600E33"/>
    <w:rsid w:val="00601E6A"/>
    <w:rsid w:val="0060484C"/>
    <w:rsid w:val="006054D5"/>
    <w:rsid w:val="00605EEE"/>
    <w:rsid w:val="006102AB"/>
    <w:rsid w:val="0061096A"/>
    <w:rsid w:val="00611359"/>
    <w:rsid w:val="0061378D"/>
    <w:rsid w:val="00614EE8"/>
    <w:rsid w:val="00615267"/>
    <w:rsid w:val="00616822"/>
    <w:rsid w:val="00617209"/>
    <w:rsid w:val="00622902"/>
    <w:rsid w:val="00622DB9"/>
    <w:rsid w:val="00623004"/>
    <w:rsid w:val="00623358"/>
    <w:rsid w:val="0062494A"/>
    <w:rsid w:val="006277AD"/>
    <w:rsid w:val="006306D5"/>
    <w:rsid w:val="00633186"/>
    <w:rsid w:val="006333E6"/>
    <w:rsid w:val="00633EB8"/>
    <w:rsid w:val="006344A8"/>
    <w:rsid w:val="006403BD"/>
    <w:rsid w:val="00640581"/>
    <w:rsid w:val="00640CC7"/>
    <w:rsid w:val="00641806"/>
    <w:rsid w:val="00642693"/>
    <w:rsid w:val="00642A4C"/>
    <w:rsid w:val="0064330F"/>
    <w:rsid w:val="00644733"/>
    <w:rsid w:val="006513A3"/>
    <w:rsid w:val="0065214A"/>
    <w:rsid w:val="00653194"/>
    <w:rsid w:val="00653218"/>
    <w:rsid w:val="00653FF2"/>
    <w:rsid w:val="00654816"/>
    <w:rsid w:val="00655890"/>
    <w:rsid w:val="00656E9E"/>
    <w:rsid w:val="0066022A"/>
    <w:rsid w:val="0066071C"/>
    <w:rsid w:val="006617EE"/>
    <w:rsid w:val="00662830"/>
    <w:rsid w:val="00663CD7"/>
    <w:rsid w:val="00664467"/>
    <w:rsid w:val="0066504F"/>
    <w:rsid w:val="00666373"/>
    <w:rsid w:val="00667CE6"/>
    <w:rsid w:val="00670C8C"/>
    <w:rsid w:val="0067101B"/>
    <w:rsid w:val="00671FD2"/>
    <w:rsid w:val="0067421D"/>
    <w:rsid w:val="00674B76"/>
    <w:rsid w:val="00675B10"/>
    <w:rsid w:val="006766E6"/>
    <w:rsid w:val="0067753A"/>
    <w:rsid w:val="0068084E"/>
    <w:rsid w:val="00681551"/>
    <w:rsid w:val="00681F1B"/>
    <w:rsid w:val="006834AA"/>
    <w:rsid w:val="00684184"/>
    <w:rsid w:val="00685911"/>
    <w:rsid w:val="00685D27"/>
    <w:rsid w:val="006861DD"/>
    <w:rsid w:val="00686486"/>
    <w:rsid w:val="00687202"/>
    <w:rsid w:val="00687414"/>
    <w:rsid w:val="0069007F"/>
    <w:rsid w:val="00690450"/>
    <w:rsid w:val="006928B0"/>
    <w:rsid w:val="00692D67"/>
    <w:rsid w:val="0069459E"/>
    <w:rsid w:val="00694725"/>
    <w:rsid w:val="00695B4F"/>
    <w:rsid w:val="006966DF"/>
    <w:rsid w:val="00696B57"/>
    <w:rsid w:val="00696E1F"/>
    <w:rsid w:val="006A01F9"/>
    <w:rsid w:val="006A1964"/>
    <w:rsid w:val="006A1CA2"/>
    <w:rsid w:val="006A2244"/>
    <w:rsid w:val="006A4DAC"/>
    <w:rsid w:val="006A4FEA"/>
    <w:rsid w:val="006A51D2"/>
    <w:rsid w:val="006A6818"/>
    <w:rsid w:val="006A6F7D"/>
    <w:rsid w:val="006A7145"/>
    <w:rsid w:val="006B0889"/>
    <w:rsid w:val="006B096F"/>
    <w:rsid w:val="006B10DA"/>
    <w:rsid w:val="006B17C1"/>
    <w:rsid w:val="006B3B77"/>
    <w:rsid w:val="006B5F67"/>
    <w:rsid w:val="006B6EFE"/>
    <w:rsid w:val="006B7702"/>
    <w:rsid w:val="006C09B7"/>
    <w:rsid w:val="006C0C5B"/>
    <w:rsid w:val="006C16FF"/>
    <w:rsid w:val="006C2D04"/>
    <w:rsid w:val="006C2FCB"/>
    <w:rsid w:val="006C4184"/>
    <w:rsid w:val="006C4E4C"/>
    <w:rsid w:val="006C4EE8"/>
    <w:rsid w:val="006C5DA5"/>
    <w:rsid w:val="006C73AC"/>
    <w:rsid w:val="006D2A6A"/>
    <w:rsid w:val="006D3FE4"/>
    <w:rsid w:val="006D430D"/>
    <w:rsid w:val="006D4474"/>
    <w:rsid w:val="006D5535"/>
    <w:rsid w:val="006D5900"/>
    <w:rsid w:val="006D5E06"/>
    <w:rsid w:val="006D60D6"/>
    <w:rsid w:val="006D66E7"/>
    <w:rsid w:val="006D7365"/>
    <w:rsid w:val="006E2E5D"/>
    <w:rsid w:val="006E30BC"/>
    <w:rsid w:val="006E3ABA"/>
    <w:rsid w:val="006E41DC"/>
    <w:rsid w:val="006E7E51"/>
    <w:rsid w:val="006E7F87"/>
    <w:rsid w:val="006F0215"/>
    <w:rsid w:val="006F0E0E"/>
    <w:rsid w:val="006F0FBE"/>
    <w:rsid w:val="006F2951"/>
    <w:rsid w:val="006F35B8"/>
    <w:rsid w:val="006F393F"/>
    <w:rsid w:val="006F44FB"/>
    <w:rsid w:val="006F507A"/>
    <w:rsid w:val="006F50C3"/>
    <w:rsid w:val="00700D49"/>
    <w:rsid w:val="007011B9"/>
    <w:rsid w:val="00701447"/>
    <w:rsid w:val="00701AC1"/>
    <w:rsid w:val="00701FEF"/>
    <w:rsid w:val="00702409"/>
    <w:rsid w:val="00702667"/>
    <w:rsid w:val="007034E6"/>
    <w:rsid w:val="00704713"/>
    <w:rsid w:val="00704CD5"/>
    <w:rsid w:val="0070608B"/>
    <w:rsid w:val="007063FD"/>
    <w:rsid w:val="007108B6"/>
    <w:rsid w:val="0071213A"/>
    <w:rsid w:val="0071233A"/>
    <w:rsid w:val="007129A5"/>
    <w:rsid w:val="007129DA"/>
    <w:rsid w:val="00712A34"/>
    <w:rsid w:val="007157F1"/>
    <w:rsid w:val="00715830"/>
    <w:rsid w:val="00715DEB"/>
    <w:rsid w:val="00720DC5"/>
    <w:rsid w:val="007210BD"/>
    <w:rsid w:val="00722BC5"/>
    <w:rsid w:val="007234FC"/>
    <w:rsid w:val="00723B56"/>
    <w:rsid w:val="00724BCF"/>
    <w:rsid w:val="0072631D"/>
    <w:rsid w:val="00726879"/>
    <w:rsid w:val="00727609"/>
    <w:rsid w:val="007329A5"/>
    <w:rsid w:val="0073326D"/>
    <w:rsid w:val="00733B7D"/>
    <w:rsid w:val="007364E6"/>
    <w:rsid w:val="00736BD0"/>
    <w:rsid w:val="00737318"/>
    <w:rsid w:val="00737FD2"/>
    <w:rsid w:val="00740474"/>
    <w:rsid w:val="00740AB8"/>
    <w:rsid w:val="00741F1A"/>
    <w:rsid w:val="00743608"/>
    <w:rsid w:val="007436D4"/>
    <w:rsid w:val="00743B59"/>
    <w:rsid w:val="00744B64"/>
    <w:rsid w:val="007451D1"/>
    <w:rsid w:val="007457BE"/>
    <w:rsid w:val="00746948"/>
    <w:rsid w:val="00746B51"/>
    <w:rsid w:val="00746BDD"/>
    <w:rsid w:val="007470EE"/>
    <w:rsid w:val="00747ABE"/>
    <w:rsid w:val="0075018E"/>
    <w:rsid w:val="007510E1"/>
    <w:rsid w:val="007513CF"/>
    <w:rsid w:val="0075222D"/>
    <w:rsid w:val="007528F1"/>
    <w:rsid w:val="00752BC7"/>
    <w:rsid w:val="007532B6"/>
    <w:rsid w:val="00754552"/>
    <w:rsid w:val="00755059"/>
    <w:rsid w:val="007553DD"/>
    <w:rsid w:val="00755D5B"/>
    <w:rsid w:val="00756347"/>
    <w:rsid w:val="007577CF"/>
    <w:rsid w:val="00757F1D"/>
    <w:rsid w:val="00761FCF"/>
    <w:rsid w:val="00762E18"/>
    <w:rsid w:val="0076576E"/>
    <w:rsid w:val="00765924"/>
    <w:rsid w:val="007670A4"/>
    <w:rsid w:val="00770377"/>
    <w:rsid w:val="00771044"/>
    <w:rsid w:val="00771829"/>
    <w:rsid w:val="0077248C"/>
    <w:rsid w:val="00772E7B"/>
    <w:rsid w:val="0077333C"/>
    <w:rsid w:val="00773AD7"/>
    <w:rsid w:val="007747AA"/>
    <w:rsid w:val="007748B5"/>
    <w:rsid w:val="0077580E"/>
    <w:rsid w:val="00775A58"/>
    <w:rsid w:val="00777515"/>
    <w:rsid w:val="007778D8"/>
    <w:rsid w:val="00780CE4"/>
    <w:rsid w:val="00782ABD"/>
    <w:rsid w:val="00784882"/>
    <w:rsid w:val="00784DA3"/>
    <w:rsid w:val="00785523"/>
    <w:rsid w:val="00785A0E"/>
    <w:rsid w:val="0078619F"/>
    <w:rsid w:val="00786837"/>
    <w:rsid w:val="00786E12"/>
    <w:rsid w:val="00787291"/>
    <w:rsid w:val="00787345"/>
    <w:rsid w:val="00790170"/>
    <w:rsid w:val="00790400"/>
    <w:rsid w:val="00790D0A"/>
    <w:rsid w:val="00790DF7"/>
    <w:rsid w:val="00793087"/>
    <w:rsid w:val="00793DC9"/>
    <w:rsid w:val="00795319"/>
    <w:rsid w:val="007953D5"/>
    <w:rsid w:val="007A16A3"/>
    <w:rsid w:val="007A25E5"/>
    <w:rsid w:val="007A3500"/>
    <w:rsid w:val="007A4523"/>
    <w:rsid w:val="007A59CF"/>
    <w:rsid w:val="007A5E72"/>
    <w:rsid w:val="007B3892"/>
    <w:rsid w:val="007B3A9B"/>
    <w:rsid w:val="007B450C"/>
    <w:rsid w:val="007B458E"/>
    <w:rsid w:val="007B5469"/>
    <w:rsid w:val="007B5B75"/>
    <w:rsid w:val="007B697C"/>
    <w:rsid w:val="007B793F"/>
    <w:rsid w:val="007B7EF7"/>
    <w:rsid w:val="007C1492"/>
    <w:rsid w:val="007C1906"/>
    <w:rsid w:val="007C21E0"/>
    <w:rsid w:val="007C3D3D"/>
    <w:rsid w:val="007C3DA4"/>
    <w:rsid w:val="007C523C"/>
    <w:rsid w:val="007C5AA8"/>
    <w:rsid w:val="007C60E8"/>
    <w:rsid w:val="007C6D47"/>
    <w:rsid w:val="007D00AA"/>
    <w:rsid w:val="007D0DD1"/>
    <w:rsid w:val="007D1735"/>
    <w:rsid w:val="007D21DB"/>
    <w:rsid w:val="007D2D5D"/>
    <w:rsid w:val="007D2DD8"/>
    <w:rsid w:val="007D5212"/>
    <w:rsid w:val="007D58FE"/>
    <w:rsid w:val="007D59C0"/>
    <w:rsid w:val="007D660C"/>
    <w:rsid w:val="007D6A6D"/>
    <w:rsid w:val="007D6C66"/>
    <w:rsid w:val="007E143C"/>
    <w:rsid w:val="007E1747"/>
    <w:rsid w:val="007E1C9A"/>
    <w:rsid w:val="007E2A08"/>
    <w:rsid w:val="007E2C1F"/>
    <w:rsid w:val="007E3203"/>
    <w:rsid w:val="007E5682"/>
    <w:rsid w:val="007E57C5"/>
    <w:rsid w:val="007E5CA3"/>
    <w:rsid w:val="007E5CC1"/>
    <w:rsid w:val="007E7DAC"/>
    <w:rsid w:val="007E7F9F"/>
    <w:rsid w:val="007F0614"/>
    <w:rsid w:val="007F1B37"/>
    <w:rsid w:val="007F1EB0"/>
    <w:rsid w:val="007F59D1"/>
    <w:rsid w:val="007F71AA"/>
    <w:rsid w:val="007F77D5"/>
    <w:rsid w:val="007F7ACE"/>
    <w:rsid w:val="007F7B7E"/>
    <w:rsid w:val="007F7D1B"/>
    <w:rsid w:val="00800417"/>
    <w:rsid w:val="00800D9D"/>
    <w:rsid w:val="0080145D"/>
    <w:rsid w:val="00802996"/>
    <w:rsid w:val="00803D07"/>
    <w:rsid w:val="008051C2"/>
    <w:rsid w:val="00805BB7"/>
    <w:rsid w:val="008061CE"/>
    <w:rsid w:val="008110CD"/>
    <w:rsid w:val="0081147F"/>
    <w:rsid w:val="00813197"/>
    <w:rsid w:val="00813354"/>
    <w:rsid w:val="00813678"/>
    <w:rsid w:val="00813B23"/>
    <w:rsid w:val="00815992"/>
    <w:rsid w:val="00816041"/>
    <w:rsid w:val="00822796"/>
    <w:rsid w:val="008233AF"/>
    <w:rsid w:val="008238FE"/>
    <w:rsid w:val="00823CB2"/>
    <w:rsid w:val="008240A3"/>
    <w:rsid w:val="008242B4"/>
    <w:rsid w:val="008257EF"/>
    <w:rsid w:val="008263D2"/>
    <w:rsid w:val="00826FEA"/>
    <w:rsid w:val="0083046D"/>
    <w:rsid w:val="00830A19"/>
    <w:rsid w:val="00833791"/>
    <w:rsid w:val="008347E9"/>
    <w:rsid w:val="00835018"/>
    <w:rsid w:val="008355D4"/>
    <w:rsid w:val="00835F27"/>
    <w:rsid w:val="00836FF5"/>
    <w:rsid w:val="00837B5C"/>
    <w:rsid w:val="0084053D"/>
    <w:rsid w:val="008408AE"/>
    <w:rsid w:val="008412FF"/>
    <w:rsid w:val="00841B9E"/>
    <w:rsid w:val="00841CEA"/>
    <w:rsid w:val="00843EA9"/>
    <w:rsid w:val="00844877"/>
    <w:rsid w:val="00845C9D"/>
    <w:rsid w:val="0084618F"/>
    <w:rsid w:val="00847105"/>
    <w:rsid w:val="00847B1B"/>
    <w:rsid w:val="00850125"/>
    <w:rsid w:val="008527CB"/>
    <w:rsid w:val="00852D9E"/>
    <w:rsid w:val="00857429"/>
    <w:rsid w:val="00857ACB"/>
    <w:rsid w:val="00857BBD"/>
    <w:rsid w:val="008603FF"/>
    <w:rsid w:val="00860D79"/>
    <w:rsid w:val="00861ED3"/>
    <w:rsid w:val="00865B07"/>
    <w:rsid w:val="00866E60"/>
    <w:rsid w:val="008673D3"/>
    <w:rsid w:val="008706DC"/>
    <w:rsid w:val="00870971"/>
    <w:rsid w:val="00871F33"/>
    <w:rsid w:val="008720BC"/>
    <w:rsid w:val="008726CF"/>
    <w:rsid w:val="008742C6"/>
    <w:rsid w:val="008756BD"/>
    <w:rsid w:val="008760B9"/>
    <w:rsid w:val="00876F54"/>
    <w:rsid w:val="008774B7"/>
    <w:rsid w:val="008822E2"/>
    <w:rsid w:val="00886F75"/>
    <w:rsid w:val="008871CB"/>
    <w:rsid w:val="00887917"/>
    <w:rsid w:val="00887D31"/>
    <w:rsid w:val="00890130"/>
    <w:rsid w:val="0089129F"/>
    <w:rsid w:val="00891C6E"/>
    <w:rsid w:val="0089274B"/>
    <w:rsid w:val="00892794"/>
    <w:rsid w:val="00892E8B"/>
    <w:rsid w:val="008934E4"/>
    <w:rsid w:val="0089354B"/>
    <w:rsid w:val="0089486C"/>
    <w:rsid w:val="00894A2E"/>
    <w:rsid w:val="0089763D"/>
    <w:rsid w:val="00897AA4"/>
    <w:rsid w:val="008A1DD4"/>
    <w:rsid w:val="008A29F8"/>
    <w:rsid w:val="008A2A74"/>
    <w:rsid w:val="008A4766"/>
    <w:rsid w:val="008A5238"/>
    <w:rsid w:val="008A6292"/>
    <w:rsid w:val="008A63F4"/>
    <w:rsid w:val="008A7DEA"/>
    <w:rsid w:val="008B0D6D"/>
    <w:rsid w:val="008B1138"/>
    <w:rsid w:val="008B2444"/>
    <w:rsid w:val="008B43BB"/>
    <w:rsid w:val="008B4D21"/>
    <w:rsid w:val="008B4FD6"/>
    <w:rsid w:val="008B6AD6"/>
    <w:rsid w:val="008B6C5A"/>
    <w:rsid w:val="008B703A"/>
    <w:rsid w:val="008B7ADB"/>
    <w:rsid w:val="008C0A5A"/>
    <w:rsid w:val="008C1A21"/>
    <w:rsid w:val="008C1C3A"/>
    <w:rsid w:val="008C222B"/>
    <w:rsid w:val="008C2623"/>
    <w:rsid w:val="008C280D"/>
    <w:rsid w:val="008C74A4"/>
    <w:rsid w:val="008D06B8"/>
    <w:rsid w:val="008D19EF"/>
    <w:rsid w:val="008D3004"/>
    <w:rsid w:val="008D3466"/>
    <w:rsid w:val="008D366A"/>
    <w:rsid w:val="008D5F5D"/>
    <w:rsid w:val="008D7950"/>
    <w:rsid w:val="008E1514"/>
    <w:rsid w:val="008E1548"/>
    <w:rsid w:val="008E1B74"/>
    <w:rsid w:val="008E1C9E"/>
    <w:rsid w:val="008E1EA9"/>
    <w:rsid w:val="008E231B"/>
    <w:rsid w:val="008E27C5"/>
    <w:rsid w:val="008F0184"/>
    <w:rsid w:val="008F0260"/>
    <w:rsid w:val="008F0390"/>
    <w:rsid w:val="008F03C5"/>
    <w:rsid w:val="008F1139"/>
    <w:rsid w:val="008F145C"/>
    <w:rsid w:val="008F1D82"/>
    <w:rsid w:val="008F2853"/>
    <w:rsid w:val="008F29EA"/>
    <w:rsid w:val="008F2C19"/>
    <w:rsid w:val="008F3264"/>
    <w:rsid w:val="008F34A9"/>
    <w:rsid w:val="008F3C90"/>
    <w:rsid w:val="008F3D13"/>
    <w:rsid w:val="008F6F18"/>
    <w:rsid w:val="008F7D19"/>
    <w:rsid w:val="00900ACC"/>
    <w:rsid w:val="0090112E"/>
    <w:rsid w:val="00901D31"/>
    <w:rsid w:val="00902117"/>
    <w:rsid w:val="0090242A"/>
    <w:rsid w:val="00902980"/>
    <w:rsid w:val="009038E3"/>
    <w:rsid w:val="00903A09"/>
    <w:rsid w:val="0091054E"/>
    <w:rsid w:val="00911353"/>
    <w:rsid w:val="009120C8"/>
    <w:rsid w:val="00912943"/>
    <w:rsid w:val="00912BDB"/>
    <w:rsid w:val="009158CF"/>
    <w:rsid w:val="00915992"/>
    <w:rsid w:val="00915F63"/>
    <w:rsid w:val="0091652D"/>
    <w:rsid w:val="0091713A"/>
    <w:rsid w:val="00917737"/>
    <w:rsid w:val="00917843"/>
    <w:rsid w:val="0091799C"/>
    <w:rsid w:val="00920139"/>
    <w:rsid w:val="0092087D"/>
    <w:rsid w:val="00921007"/>
    <w:rsid w:val="00922138"/>
    <w:rsid w:val="00922A02"/>
    <w:rsid w:val="00925112"/>
    <w:rsid w:val="00926E70"/>
    <w:rsid w:val="00927B42"/>
    <w:rsid w:val="00930933"/>
    <w:rsid w:val="0093238E"/>
    <w:rsid w:val="00933381"/>
    <w:rsid w:val="00934B9E"/>
    <w:rsid w:val="00935186"/>
    <w:rsid w:val="00935594"/>
    <w:rsid w:val="00935DC1"/>
    <w:rsid w:val="009363EA"/>
    <w:rsid w:val="00936FAC"/>
    <w:rsid w:val="00937F7C"/>
    <w:rsid w:val="00940114"/>
    <w:rsid w:val="00941774"/>
    <w:rsid w:val="00941F64"/>
    <w:rsid w:val="00943B60"/>
    <w:rsid w:val="00943F4C"/>
    <w:rsid w:val="009445E1"/>
    <w:rsid w:val="009447A7"/>
    <w:rsid w:val="00944A6F"/>
    <w:rsid w:val="00945625"/>
    <w:rsid w:val="00947A91"/>
    <w:rsid w:val="009512D5"/>
    <w:rsid w:val="00952563"/>
    <w:rsid w:val="00952B24"/>
    <w:rsid w:val="00955781"/>
    <w:rsid w:val="00955D62"/>
    <w:rsid w:val="00956298"/>
    <w:rsid w:val="00957A17"/>
    <w:rsid w:val="0096184A"/>
    <w:rsid w:val="00962CA8"/>
    <w:rsid w:val="00963EDA"/>
    <w:rsid w:val="0096557F"/>
    <w:rsid w:val="00965D3A"/>
    <w:rsid w:val="009672BD"/>
    <w:rsid w:val="00970559"/>
    <w:rsid w:val="00975E28"/>
    <w:rsid w:val="00975F9D"/>
    <w:rsid w:val="009768BC"/>
    <w:rsid w:val="009773AD"/>
    <w:rsid w:val="00981D8F"/>
    <w:rsid w:val="00985A68"/>
    <w:rsid w:val="009862EA"/>
    <w:rsid w:val="00987190"/>
    <w:rsid w:val="00987606"/>
    <w:rsid w:val="0098793F"/>
    <w:rsid w:val="00990FA1"/>
    <w:rsid w:val="00992C44"/>
    <w:rsid w:val="00993C61"/>
    <w:rsid w:val="00993E28"/>
    <w:rsid w:val="009958FC"/>
    <w:rsid w:val="009970E2"/>
    <w:rsid w:val="009A0918"/>
    <w:rsid w:val="009A0D4C"/>
    <w:rsid w:val="009A0FDA"/>
    <w:rsid w:val="009A1794"/>
    <w:rsid w:val="009A29FE"/>
    <w:rsid w:val="009A3204"/>
    <w:rsid w:val="009A3721"/>
    <w:rsid w:val="009A458C"/>
    <w:rsid w:val="009A4893"/>
    <w:rsid w:val="009A5A27"/>
    <w:rsid w:val="009A5F37"/>
    <w:rsid w:val="009A643F"/>
    <w:rsid w:val="009B0D03"/>
    <w:rsid w:val="009B14D0"/>
    <w:rsid w:val="009B27B8"/>
    <w:rsid w:val="009B32D2"/>
    <w:rsid w:val="009B3BE0"/>
    <w:rsid w:val="009B4B2D"/>
    <w:rsid w:val="009B503D"/>
    <w:rsid w:val="009B5721"/>
    <w:rsid w:val="009B5BBD"/>
    <w:rsid w:val="009C039F"/>
    <w:rsid w:val="009C1C32"/>
    <w:rsid w:val="009C2C18"/>
    <w:rsid w:val="009C2E7F"/>
    <w:rsid w:val="009C378A"/>
    <w:rsid w:val="009C4B34"/>
    <w:rsid w:val="009C5015"/>
    <w:rsid w:val="009C7098"/>
    <w:rsid w:val="009D0A83"/>
    <w:rsid w:val="009D26C0"/>
    <w:rsid w:val="009D40AF"/>
    <w:rsid w:val="009D5073"/>
    <w:rsid w:val="009D5BDE"/>
    <w:rsid w:val="009D6145"/>
    <w:rsid w:val="009D675A"/>
    <w:rsid w:val="009E0A05"/>
    <w:rsid w:val="009E128B"/>
    <w:rsid w:val="009E239C"/>
    <w:rsid w:val="009E250D"/>
    <w:rsid w:val="009E335D"/>
    <w:rsid w:val="009E43BC"/>
    <w:rsid w:val="009E4E9D"/>
    <w:rsid w:val="009E5521"/>
    <w:rsid w:val="009E5877"/>
    <w:rsid w:val="009F1A38"/>
    <w:rsid w:val="009F2570"/>
    <w:rsid w:val="009F3493"/>
    <w:rsid w:val="009F3697"/>
    <w:rsid w:val="009F3E30"/>
    <w:rsid w:val="009F5184"/>
    <w:rsid w:val="009F6BFE"/>
    <w:rsid w:val="00A02A98"/>
    <w:rsid w:val="00A03156"/>
    <w:rsid w:val="00A03219"/>
    <w:rsid w:val="00A03595"/>
    <w:rsid w:val="00A03B8A"/>
    <w:rsid w:val="00A03F83"/>
    <w:rsid w:val="00A0491D"/>
    <w:rsid w:val="00A05B6D"/>
    <w:rsid w:val="00A06E6B"/>
    <w:rsid w:val="00A06F30"/>
    <w:rsid w:val="00A11050"/>
    <w:rsid w:val="00A11270"/>
    <w:rsid w:val="00A11CE4"/>
    <w:rsid w:val="00A1244E"/>
    <w:rsid w:val="00A12AB8"/>
    <w:rsid w:val="00A14B6A"/>
    <w:rsid w:val="00A153AC"/>
    <w:rsid w:val="00A15C16"/>
    <w:rsid w:val="00A165A7"/>
    <w:rsid w:val="00A16F1E"/>
    <w:rsid w:val="00A209D4"/>
    <w:rsid w:val="00A211F6"/>
    <w:rsid w:val="00A216CD"/>
    <w:rsid w:val="00A23983"/>
    <w:rsid w:val="00A257A6"/>
    <w:rsid w:val="00A25EBF"/>
    <w:rsid w:val="00A26336"/>
    <w:rsid w:val="00A27197"/>
    <w:rsid w:val="00A27D8A"/>
    <w:rsid w:val="00A301EB"/>
    <w:rsid w:val="00A31AD8"/>
    <w:rsid w:val="00A32A45"/>
    <w:rsid w:val="00A35721"/>
    <w:rsid w:val="00A35BA3"/>
    <w:rsid w:val="00A3669A"/>
    <w:rsid w:val="00A37865"/>
    <w:rsid w:val="00A407F4"/>
    <w:rsid w:val="00A413F2"/>
    <w:rsid w:val="00A41FDE"/>
    <w:rsid w:val="00A437A3"/>
    <w:rsid w:val="00A44423"/>
    <w:rsid w:val="00A44A15"/>
    <w:rsid w:val="00A45698"/>
    <w:rsid w:val="00A47146"/>
    <w:rsid w:val="00A50876"/>
    <w:rsid w:val="00A508D6"/>
    <w:rsid w:val="00A50DED"/>
    <w:rsid w:val="00A531F5"/>
    <w:rsid w:val="00A532A2"/>
    <w:rsid w:val="00A53769"/>
    <w:rsid w:val="00A5432E"/>
    <w:rsid w:val="00A54906"/>
    <w:rsid w:val="00A558E8"/>
    <w:rsid w:val="00A5645C"/>
    <w:rsid w:val="00A60189"/>
    <w:rsid w:val="00A60451"/>
    <w:rsid w:val="00A607FF"/>
    <w:rsid w:val="00A63450"/>
    <w:rsid w:val="00A64F23"/>
    <w:rsid w:val="00A6552E"/>
    <w:rsid w:val="00A70907"/>
    <w:rsid w:val="00A72ACC"/>
    <w:rsid w:val="00A73533"/>
    <w:rsid w:val="00A73692"/>
    <w:rsid w:val="00A7403A"/>
    <w:rsid w:val="00A747AE"/>
    <w:rsid w:val="00A75707"/>
    <w:rsid w:val="00A75C2D"/>
    <w:rsid w:val="00A76F66"/>
    <w:rsid w:val="00A801DD"/>
    <w:rsid w:val="00A803EB"/>
    <w:rsid w:val="00A80703"/>
    <w:rsid w:val="00A80B01"/>
    <w:rsid w:val="00A8125A"/>
    <w:rsid w:val="00A81A85"/>
    <w:rsid w:val="00A835FF"/>
    <w:rsid w:val="00A8599E"/>
    <w:rsid w:val="00A875D8"/>
    <w:rsid w:val="00A87742"/>
    <w:rsid w:val="00A87ABC"/>
    <w:rsid w:val="00A93646"/>
    <w:rsid w:val="00A936BF"/>
    <w:rsid w:val="00A938D5"/>
    <w:rsid w:val="00A93972"/>
    <w:rsid w:val="00A948F3"/>
    <w:rsid w:val="00A9534A"/>
    <w:rsid w:val="00A95A5B"/>
    <w:rsid w:val="00A97EF0"/>
    <w:rsid w:val="00AA07BF"/>
    <w:rsid w:val="00AA0AC6"/>
    <w:rsid w:val="00AA0F90"/>
    <w:rsid w:val="00AA12A8"/>
    <w:rsid w:val="00AA1FBF"/>
    <w:rsid w:val="00AA3A97"/>
    <w:rsid w:val="00AA541E"/>
    <w:rsid w:val="00AA655C"/>
    <w:rsid w:val="00AA78F1"/>
    <w:rsid w:val="00AB0030"/>
    <w:rsid w:val="00AB1B38"/>
    <w:rsid w:val="00AB22C1"/>
    <w:rsid w:val="00AB4155"/>
    <w:rsid w:val="00AC0100"/>
    <w:rsid w:val="00AC07E9"/>
    <w:rsid w:val="00AC1C12"/>
    <w:rsid w:val="00AC1E11"/>
    <w:rsid w:val="00AC30D3"/>
    <w:rsid w:val="00AC5212"/>
    <w:rsid w:val="00AC5982"/>
    <w:rsid w:val="00AC5B0F"/>
    <w:rsid w:val="00AC7A31"/>
    <w:rsid w:val="00AD1FDE"/>
    <w:rsid w:val="00AD27D9"/>
    <w:rsid w:val="00AD28AE"/>
    <w:rsid w:val="00AD2D56"/>
    <w:rsid w:val="00AD387D"/>
    <w:rsid w:val="00AD491F"/>
    <w:rsid w:val="00AD4B9C"/>
    <w:rsid w:val="00AD52F2"/>
    <w:rsid w:val="00AD78B1"/>
    <w:rsid w:val="00AE050A"/>
    <w:rsid w:val="00AE154C"/>
    <w:rsid w:val="00AE2154"/>
    <w:rsid w:val="00AE263F"/>
    <w:rsid w:val="00AE462F"/>
    <w:rsid w:val="00AE64C3"/>
    <w:rsid w:val="00AE6C87"/>
    <w:rsid w:val="00AF0920"/>
    <w:rsid w:val="00AF0F88"/>
    <w:rsid w:val="00AF0F8E"/>
    <w:rsid w:val="00AF1B84"/>
    <w:rsid w:val="00AF22BD"/>
    <w:rsid w:val="00AF2DDE"/>
    <w:rsid w:val="00AF4078"/>
    <w:rsid w:val="00AF54AB"/>
    <w:rsid w:val="00AF5780"/>
    <w:rsid w:val="00AF58D3"/>
    <w:rsid w:val="00AF6114"/>
    <w:rsid w:val="00AF692B"/>
    <w:rsid w:val="00AF6FE5"/>
    <w:rsid w:val="00AF71B8"/>
    <w:rsid w:val="00AF7B85"/>
    <w:rsid w:val="00B000D3"/>
    <w:rsid w:val="00B001C1"/>
    <w:rsid w:val="00B00530"/>
    <w:rsid w:val="00B0442B"/>
    <w:rsid w:val="00B047F8"/>
    <w:rsid w:val="00B07880"/>
    <w:rsid w:val="00B103DE"/>
    <w:rsid w:val="00B104DC"/>
    <w:rsid w:val="00B12EB0"/>
    <w:rsid w:val="00B1433A"/>
    <w:rsid w:val="00B149AB"/>
    <w:rsid w:val="00B15223"/>
    <w:rsid w:val="00B1575C"/>
    <w:rsid w:val="00B15E09"/>
    <w:rsid w:val="00B160A8"/>
    <w:rsid w:val="00B203FD"/>
    <w:rsid w:val="00B20788"/>
    <w:rsid w:val="00B20D60"/>
    <w:rsid w:val="00B21CDE"/>
    <w:rsid w:val="00B22121"/>
    <w:rsid w:val="00B22200"/>
    <w:rsid w:val="00B231A3"/>
    <w:rsid w:val="00B2535F"/>
    <w:rsid w:val="00B27681"/>
    <w:rsid w:val="00B277A3"/>
    <w:rsid w:val="00B30A07"/>
    <w:rsid w:val="00B31584"/>
    <w:rsid w:val="00B316B8"/>
    <w:rsid w:val="00B3510E"/>
    <w:rsid w:val="00B366EE"/>
    <w:rsid w:val="00B40070"/>
    <w:rsid w:val="00B40657"/>
    <w:rsid w:val="00B40F56"/>
    <w:rsid w:val="00B41FCA"/>
    <w:rsid w:val="00B421D2"/>
    <w:rsid w:val="00B431CE"/>
    <w:rsid w:val="00B43877"/>
    <w:rsid w:val="00B456C5"/>
    <w:rsid w:val="00B46DA8"/>
    <w:rsid w:val="00B51ACA"/>
    <w:rsid w:val="00B51CEA"/>
    <w:rsid w:val="00B52730"/>
    <w:rsid w:val="00B52928"/>
    <w:rsid w:val="00B52CDA"/>
    <w:rsid w:val="00B535B1"/>
    <w:rsid w:val="00B53A34"/>
    <w:rsid w:val="00B54D44"/>
    <w:rsid w:val="00B55FAC"/>
    <w:rsid w:val="00B569C7"/>
    <w:rsid w:val="00B60458"/>
    <w:rsid w:val="00B62FFC"/>
    <w:rsid w:val="00B63982"/>
    <w:rsid w:val="00B64A2B"/>
    <w:rsid w:val="00B64AF3"/>
    <w:rsid w:val="00B65C75"/>
    <w:rsid w:val="00B65DC1"/>
    <w:rsid w:val="00B65EB8"/>
    <w:rsid w:val="00B6698F"/>
    <w:rsid w:val="00B672A8"/>
    <w:rsid w:val="00B6752D"/>
    <w:rsid w:val="00B678B2"/>
    <w:rsid w:val="00B67D67"/>
    <w:rsid w:val="00B7046C"/>
    <w:rsid w:val="00B7095C"/>
    <w:rsid w:val="00B74040"/>
    <w:rsid w:val="00B74A49"/>
    <w:rsid w:val="00B7577F"/>
    <w:rsid w:val="00B7612C"/>
    <w:rsid w:val="00B76CE8"/>
    <w:rsid w:val="00B810F5"/>
    <w:rsid w:val="00B81C25"/>
    <w:rsid w:val="00B81C53"/>
    <w:rsid w:val="00B82255"/>
    <w:rsid w:val="00B83B90"/>
    <w:rsid w:val="00B84FF3"/>
    <w:rsid w:val="00B86169"/>
    <w:rsid w:val="00B878B8"/>
    <w:rsid w:val="00B87C07"/>
    <w:rsid w:val="00B91830"/>
    <w:rsid w:val="00B92A09"/>
    <w:rsid w:val="00B9358D"/>
    <w:rsid w:val="00B947AC"/>
    <w:rsid w:val="00B96261"/>
    <w:rsid w:val="00B9775B"/>
    <w:rsid w:val="00B978F6"/>
    <w:rsid w:val="00B97B65"/>
    <w:rsid w:val="00B97F8A"/>
    <w:rsid w:val="00BA11ED"/>
    <w:rsid w:val="00BA23AC"/>
    <w:rsid w:val="00BA270F"/>
    <w:rsid w:val="00BA338E"/>
    <w:rsid w:val="00BA346F"/>
    <w:rsid w:val="00BA36E4"/>
    <w:rsid w:val="00BA3947"/>
    <w:rsid w:val="00BA53F8"/>
    <w:rsid w:val="00BA5A1C"/>
    <w:rsid w:val="00BA702D"/>
    <w:rsid w:val="00BA7663"/>
    <w:rsid w:val="00BB054E"/>
    <w:rsid w:val="00BB1087"/>
    <w:rsid w:val="00BB15DA"/>
    <w:rsid w:val="00BB2737"/>
    <w:rsid w:val="00BB3CBA"/>
    <w:rsid w:val="00BB442C"/>
    <w:rsid w:val="00BB4DC6"/>
    <w:rsid w:val="00BB57F0"/>
    <w:rsid w:val="00BB5B6D"/>
    <w:rsid w:val="00BC0B47"/>
    <w:rsid w:val="00BC11D1"/>
    <w:rsid w:val="00BC140B"/>
    <w:rsid w:val="00BC1FB4"/>
    <w:rsid w:val="00BC2E01"/>
    <w:rsid w:val="00BC5729"/>
    <w:rsid w:val="00BC68A6"/>
    <w:rsid w:val="00BC710C"/>
    <w:rsid w:val="00BC7290"/>
    <w:rsid w:val="00BC7A0C"/>
    <w:rsid w:val="00BD0259"/>
    <w:rsid w:val="00BD0A1C"/>
    <w:rsid w:val="00BD1291"/>
    <w:rsid w:val="00BD13A6"/>
    <w:rsid w:val="00BD1884"/>
    <w:rsid w:val="00BD292A"/>
    <w:rsid w:val="00BD494D"/>
    <w:rsid w:val="00BD5BC2"/>
    <w:rsid w:val="00BD6146"/>
    <w:rsid w:val="00BD643C"/>
    <w:rsid w:val="00BD6745"/>
    <w:rsid w:val="00BD6AC6"/>
    <w:rsid w:val="00BD731A"/>
    <w:rsid w:val="00BD7B6F"/>
    <w:rsid w:val="00BD7F84"/>
    <w:rsid w:val="00BE023B"/>
    <w:rsid w:val="00BE0F0E"/>
    <w:rsid w:val="00BE1C2D"/>
    <w:rsid w:val="00BE2379"/>
    <w:rsid w:val="00BE2822"/>
    <w:rsid w:val="00BE3DF1"/>
    <w:rsid w:val="00BE5933"/>
    <w:rsid w:val="00BE5994"/>
    <w:rsid w:val="00BE6B63"/>
    <w:rsid w:val="00BE771A"/>
    <w:rsid w:val="00BF01B9"/>
    <w:rsid w:val="00BF293A"/>
    <w:rsid w:val="00BF476B"/>
    <w:rsid w:val="00BF4856"/>
    <w:rsid w:val="00BF755A"/>
    <w:rsid w:val="00C01A4A"/>
    <w:rsid w:val="00C025D8"/>
    <w:rsid w:val="00C02BEB"/>
    <w:rsid w:val="00C03681"/>
    <w:rsid w:val="00C03B80"/>
    <w:rsid w:val="00C0413C"/>
    <w:rsid w:val="00C05F77"/>
    <w:rsid w:val="00C06396"/>
    <w:rsid w:val="00C06C6D"/>
    <w:rsid w:val="00C07622"/>
    <w:rsid w:val="00C07FA8"/>
    <w:rsid w:val="00C101F6"/>
    <w:rsid w:val="00C116A7"/>
    <w:rsid w:val="00C11DE8"/>
    <w:rsid w:val="00C129AD"/>
    <w:rsid w:val="00C14E92"/>
    <w:rsid w:val="00C15E5A"/>
    <w:rsid w:val="00C2050A"/>
    <w:rsid w:val="00C206B2"/>
    <w:rsid w:val="00C20EA4"/>
    <w:rsid w:val="00C23860"/>
    <w:rsid w:val="00C2428B"/>
    <w:rsid w:val="00C25233"/>
    <w:rsid w:val="00C27013"/>
    <w:rsid w:val="00C27585"/>
    <w:rsid w:val="00C301A0"/>
    <w:rsid w:val="00C30D90"/>
    <w:rsid w:val="00C30EFF"/>
    <w:rsid w:val="00C3126E"/>
    <w:rsid w:val="00C314A2"/>
    <w:rsid w:val="00C326E5"/>
    <w:rsid w:val="00C32F10"/>
    <w:rsid w:val="00C331E4"/>
    <w:rsid w:val="00C33DF3"/>
    <w:rsid w:val="00C34922"/>
    <w:rsid w:val="00C34A56"/>
    <w:rsid w:val="00C34B20"/>
    <w:rsid w:val="00C35124"/>
    <w:rsid w:val="00C35B04"/>
    <w:rsid w:val="00C361F5"/>
    <w:rsid w:val="00C363F3"/>
    <w:rsid w:val="00C37479"/>
    <w:rsid w:val="00C40D08"/>
    <w:rsid w:val="00C41848"/>
    <w:rsid w:val="00C424F1"/>
    <w:rsid w:val="00C439E1"/>
    <w:rsid w:val="00C44F21"/>
    <w:rsid w:val="00C461FE"/>
    <w:rsid w:val="00C46677"/>
    <w:rsid w:val="00C470A1"/>
    <w:rsid w:val="00C502D1"/>
    <w:rsid w:val="00C50403"/>
    <w:rsid w:val="00C51522"/>
    <w:rsid w:val="00C51646"/>
    <w:rsid w:val="00C5285D"/>
    <w:rsid w:val="00C54D6D"/>
    <w:rsid w:val="00C5642A"/>
    <w:rsid w:val="00C5765E"/>
    <w:rsid w:val="00C6069C"/>
    <w:rsid w:val="00C61740"/>
    <w:rsid w:val="00C617BA"/>
    <w:rsid w:val="00C62CA1"/>
    <w:rsid w:val="00C62FE6"/>
    <w:rsid w:val="00C64AE9"/>
    <w:rsid w:val="00C65B66"/>
    <w:rsid w:val="00C66E7D"/>
    <w:rsid w:val="00C70227"/>
    <w:rsid w:val="00C707B3"/>
    <w:rsid w:val="00C70F3F"/>
    <w:rsid w:val="00C715B5"/>
    <w:rsid w:val="00C715CB"/>
    <w:rsid w:val="00C726E7"/>
    <w:rsid w:val="00C72936"/>
    <w:rsid w:val="00C737C5"/>
    <w:rsid w:val="00C73F15"/>
    <w:rsid w:val="00C74B3F"/>
    <w:rsid w:val="00C750DF"/>
    <w:rsid w:val="00C7510F"/>
    <w:rsid w:val="00C7731C"/>
    <w:rsid w:val="00C77572"/>
    <w:rsid w:val="00C805BF"/>
    <w:rsid w:val="00C806A5"/>
    <w:rsid w:val="00C8076E"/>
    <w:rsid w:val="00C81029"/>
    <w:rsid w:val="00C8162B"/>
    <w:rsid w:val="00C834ED"/>
    <w:rsid w:val="00C863DD"/>
    <w:rsid w:val="00C865BE"/>
    <w:rsid w:val="00C866EE"/>
    <w:rsid w:val="00C91B5D"/>
    <w:rsid w:val="00C91DCE"/>
    <w:rsid w:val="00C92674"/>
    <w:rsid w:val="00C942F7"/>
    <w:rsid w:val="00C97848"/>
    <w:rsid w:val="00C97C87"/>
    <w:rsid w:val="00CA296D"/>
    <w:rsid w:val="00CA2CF0"/>
    <w:rsid w:val="00CA3B0A"/>
    <w:rsid w:val="00CA3B66"/>
    <w:rsid w:val="00CA3DF9"/>
    <w:rsid w:val="00CA4BA4"/>
    <w:rsid w:val="00CA5439"/>
    <w:rsid w:val="00CA547D"/>
    <w:rsid w:val="00CA6857"/>
    <w:rsid w:val="00CA6AE2"/>
    <w:rsid w:val="00CB016A"/>
    <w:rsid w:val="00CB02AC"/>
    <w:rsid w:val="00CB1D10"/>
    <w:rsid w:val="00CB2A07"/>
    <w:rsid w:val="00CB2BE3"/>
    <w:rsid w:val="00CB51D8"/>
    <w:rsid w:val="00CB5D14"/>
    <w:rsid w:val="00CB6032"/>
    <w:rsid w:val="00CB685D"/>
    <w:rsid w:val="00CC08F0"/>
    <w:rsid w:val="00CC0DFF"/>
    <w:rsid w:val="00CC1443"/>
    <w:rsid w:val="00CC43B5"/>
    <w:rsid w:val="00CC4BD4"/>
    <w:rsid w:val="00CC65E5"/>
    <w:rsid w:val="00CC7EDA"/>
    <w:rsid w:val="00CD0A3E"/>
    <w:rsid w:val="00CD0B21"/>
    <w:rsid w:val="00CD1F1C"/>
    <w:rsid w:val="00CD2BD4"/>
    <w:rsid w:val="00CD2C4E"/>
    <w:rsid w:val="00CD3730"/>
    <w:rsid w:val="00CD5D0D"/>
    <w:rsid w:val="00CD67FB"/>
    <w:rsid w:val="00CD6A32"/>
    <w:rsid w:val="00CD7B74"/>
    <w:rsid w:val="00CD7EC7"/>
    <w:rsid w:val="00CE0242"/>
    <w:rsid w:val="00CE0717"/>
    <w:rsid w:val="00CE1B45"/>
    <w:rsid w:val="00CE281A"/>
    <w:rsid w:val="00CE381C"/>
    <w:rsid w:val="00CE4BDE"/>
    <w:rsid w:val="00CE52A8"/>
    <w:rsid w:val="00CE59AF"/>
    <w:rsid w:val="00CE5CA3"/>
    <w:rsid w:val="00CE6671"/>
    <w:rsid w:val="00CF1516"/>
    <w:rsid w:val="00CF1680"/>
    <w:rsid w:val="00CF2974"/>
    <w:rsid w:val="00CF2A99"/>
    <w:rsid w:val="00CF3D82"/>
    <w:rsid w:val="00CF6BD8"/>
    <w:rsid w:val="00CF6FB8"/>
    <w:rsid w:val="00CF7896"/>
    <w:rsid w:val="00D0073D"/>
    <w:rsid w:val="00D02A9B"/>
    <w:rsid w:val="00D04D88"/>
    <w:rsid w:val="00D04F5C"/>
    <w:rsid w:val="00D05040"/>
    <w:rsid w:val="00D05EE3"/>
    <w:rsid w:val="00D0711F"/>
    <w:rsid w:val="00D076E2"/>
    <w:rsid w:val="00D07B72"/>
    <w:rsid w:val="00D11C1C"/>
    <w:rsid w:val="00D1272E"/>
    <w:rsid w:val="00D14E25"/>
    <w:rsid w:val="00D1711F"/>
    <w:rsid w:val="00D1773B"/>
    <w:rsid w:val="00D21071"/>
    <w:rsid w:val="00D21D8B"/>
    <w:rsid w:val="00D222D5"/>
    <w:rsid w:val="00D226B0"/>
    <w:rsid w:val="00D24F36"/>
    <w:rsid w:val="00D25F43"/>
    <w:rsid w:val="00D262B1"/>
    <w:rsid w:val="00D30162"/>
    <w:rsid w:val="00D30A5B"/>
    <w:rsid w:val="00D30C49"/>
    <w:rsid w:val="00D31059"/>
    <w:rsid w:val="00D31789"/>
    <w:rsid w:val="00D31F56"/>
    <w:rsid w:val="00D328BE"/>
    <w:rsid w:val="00D33042"/>
    <w:rsid w:val="00D36EE6"/>
    <w:rsid w:val="00D408E2"/>
    <w:rsid w:val="00D41B52"/>
    <w:rsid w:val="00D427C4"/>
    <w:rsid w:val="00D43874"/>
    <w:rsid w:val="00D4398E"/>
    <w:rsid w:val="00D43AF6"/>
    <w:rsid w:val="00D44620"/>
    <w:rsid w:val="00D4492F"/>
    <w:rsid w:val="00D45EA7"/>
    <w:rsid w:val="00D46D04"/>
    <w:rsid w:val="00D4779F"/>
    <w:rsid w:val="00D502E2"/>
    <w:rsid w:val="00D51D78"/>
    <w:rsid w:val="00D52C03"/>
    <w:rsid w:val="00D53389"/>
    <w:rsid w:val="00D54C00"/>
    <w:rsid w:val="00D5515A"/>
    <w:rsid w:val="00D5562A"/>
    <w:rsid w:val="00D608D4"/>
    <w:rsid w:val="00D623D7"/>
    <w:rsid w:val="00D62B2C"/>
    <w:rsid w:val="00D63D52"/>
    <w:rsid w:val="00D67805"/>
    <w:rsid w:val="00D712E6"/>
    <w:rsid w:val="00D71E09"/>
    <w:rsid w:val="00D727AB"/>
    <w:rsid w:val="00D747A6"/>
    <w:rsid w:val="00D76DC8"/>
    <w:rsid w:val="00D7755D"/>
    <w:rsid w:val="00D803D5"/>
    <w:rsid w:val="00D809C6"/>
    <w:rsid w:val="00D82B08"/>
    <w:rsid w:val="00D8407E"/>
    <w:rsid w:val="00D8734D"/>
    <w:rsid w:val="00D907E6"/>
    <w:rsid w:val="00D90D2B"/>
    <w:rsid w:val="00D90DF3"/>
    <w:rsid w:val="00D911B1"/>
    <w:rsid w:val="00D913F9"/>
    <w:rsid w:val="00D93319"/>
    <w:rsid w:val="00D93C78"/>
    <w:rsid w:val="00D94397"/>
    <w:rsid w:val="00D9514D"/>
    <w:rsid w:val="00D968A0"/>
    <w:rsid w:val="00DA06FA"/>
    <w:rsid w:val="00DA104D"/>
    <w:rsid w:val="00DA4358"/>
    <w:rsid w:val="00DA4D41"/>
    <w:rsid w:val="00DA4D8D"/>
    <w:rsid w:val="00DA5610"/>
    <w:rsid w:val="00DA5BE5"/>
    <w:rsid w:val="00DA5E72"/>
    <w:rsid w:val="00DA75D0"/>
    <w:rsid w:val="00DB127D"/>
    <w:rsid w:val="00DB4CC6"/>
    <w:rsid w:val="00DB4E11"/>
    <w:rsid w:val="00DB51E3"/>
    <w:rsid w:val="00DB5D59"/>
    <w:rsid w:val="00DB62D9"/>
    <w:rsid w:val="00DC02F0"/>
    <w:rsid w:val="00DC3498"/>
    <w:rsid w:val="00DC493F"/>
    <w:rsid w:val="00DC4CE4"/>
    <w:rsid w:val="00DC5B36"/>
    <w:rsid w:val="00DC627D"/>
    <w:rsid w:val="00DC6310"/>
    <w:rsid w:val="00DC7141"/>
    <w:rsid w:val="00DC766F"/>
    <w:rsid w:val="00DC77F5"/>
    <w:rsid w:val="00DD22DE"/>
    <w:rsid w:val="00DD240E"/>
    <w:rsid w:val="00DD2EB0"/>
    <w:rsid w:val="00DD3B2A"/>
    <w:rsid w:val="00DD3C91"/>
    <w:rsid w:val="00DD3F8A"/>
    <w:rsid w:val="00DD56CC"/>
    <w:rsid w:val="00DD62ED"/>
    <w:rsid w:val="00DD69B5"/>
    <w:rsid w:val="00DE00A5"/>
    <w:rsid w:val="00DE080B"/>
    <w:rsid w:val="00DE10EB"/>
    <w:rsid w:val="00DE1463"/>
    <w:rsid w:val="00DE4A4A"/>
    <w:rsid w:val="00DE4AD7"/>
    <w:rsid w:val="00DE708D"/>
    <w:rsid w:val="00DE70C8"/>
    <w:rsid w:val="00DF014C"/>
    <w:rsid w:val="00DF39E1"/>
    <w:rsid w:val="00DF3E56"/>
    <w:rsid w:val="00DF4822"/>
    <w:rsid w:val="00DF540E"/>
    <w:rsid w:val="00DF6901"/>
    <w:rsid w:val="00DF7143"/>
    <w:rsid w:val="00E0040A"/>
    <w:rsid w:val="00E01C1A"/>
    <w:rsid w:val="00E01D29"/>
    <w:rsid w:val="00E0419E"/>
    <w:rsid w:val="00E05E67"/>
    <w:rsid w:val="00E06A25"/>
    <w:rsid w:val="00E07E7E"/>
    <w:rsid w:val="00E113AC"/>
    <w:rsid w:val="00E12011"/>
    <w:rsid w:val="00E143FE"/>
    <w:rsid w:val="00E157A9"/>
    <w:rsid w:val="00E17616"/>
    <w:rsid w:val="00E1794D"/>
    <w:rsid w:val="00E21AED"/>
    <w:rsid w:val="00E224FF"/>
    <w:rsid w:val="00E2436C"/>
    <w:rsid w:val="00E24D42"/>
    <w:rsid w:val="00E251F4"/>
    <w:rsid w:val="00E25341"/>
    <w:rsid w:val="00E265FF"/>
    <w:rsid w:val="00E27984"/>
    <w:rsid w:val="00E27F64"/>
    <w:rsid w:val="00E307D7"/>
    <w:rsid w:val="00E31F07"/>
    <w:rsid w:val="00E3287D"/>
    <w:rsid w:val="00E331EE"/>
    <w:rsid w:val="00E33D43"/>
    <w:rsid w:val="00E3434F"/>
    <w:rsid w:val="00E364B4"/>
    <w:rsid w:val="00E37CD6"/>
    <w:rsid w:val="00E42819"/>
    <w:rsid w:val="00E4399F"/>
    <w:rsid w:val="00E44174"/>
    <w:rsid w:val="00E443D3"/>
    <w:rsid w:val="00E46143"/>
    <w:rsid w:val="00E50051"/>
    <w:rsid w:val="00E52C5C"/>
    <w:rsid w:val="00E538D2"/>
    <w:rsid w:val="00E53B0A"/>
    <w:rsid w:val="00E54C8F"/>
    <w:rsid w:val="00E54EE2"/>
    <w:rsid w:val="00E56C3C"/>
    <w:rsid w:val="00E56F0F"/>
    <w:rsid w:val="00E607EE"/>
    <w:rsid w:val="00E60D4D"/>
    <w:rsid w:val="00E60DE9"/>
    <w:rsid w:val="00E61BA2"/>
    <w:rsid w:val="00E61CCB"/>
    <w:rsid w:val="00E64885"/>
    <w:rsid w:val="00E6517A"/>
    <w:rsid w:val="00E675F2"/>
    <w:rsid w:val="00E7219C"/>
    <w:rsid w:val="00E72666"/>
    <w:rsid w:val="00E731A6"/>
    <w:rsid w:val="00E747E3"/>
    <w:rsid w:val="00E75422"/>
    <w:rsid w:val="00E757C8"/>
    <w:rsid w:val="00E75800"/>
    <w:rsid w:val="00E75E40"/>
    <w:rsid w:val="00E7669A"/>
    <w:rsid w:val="00E769E3"/>
    <w:rsid w:val="00E774D3"/>
    <w:rsid w:val="00E80454"/>
    <w:rsid w:val="00E81862"/>
    <w:rsid w:val="00E819B2"/>
    <w:rsid w:val="00E8203C"/>
    <w:rsid w:val="00E82BF0"/>
    <w:rsid w:val="00E82FEA"/>
    <w:rsid w:val="00E84930"/>
    <w:rsid w:val="00E84B3B"/>
    <w:rsid w:val="00E84D63"/>
    <w:rsid w:val="00E85792"/>
    <w:rsid w:val="00E864A0"/>
    <w:rsid w:val="00E86749"/>
    <w:rsid w:val="00E87687"/>
    <w:rsid w:val="00E878FE"/>
    <w:rsid w:val="00E90AFC"/>
    <w:rsid w:val="00E91065"/>
    <w:rsid w:val="00E925C1"/>
    <w:rsid w:val="00E932D7"/>
    <w:rsid w:val="00E9360E"/>
    <w:rsid w:val="00E94794"/>
    <w:rsid w:val="00E94BEC"/>
    <w:rsid w:val="00E94CF1"/>
    <w:rsid w:val="00E94ECC"/>
    <w:rsid w:val="00E95C0A"/>
    <w:rsid w:val="00E968A5"/>
    <w:rsid w:val="00E976AE"/>
    <w:rsid w:val="00EA0A94"/>
    <w:rsid w:val="00EA1427"/>
    <w:rsid w:val="00EA1EF5"/>
    <w:rsid w:val="00EA2382"/>
    <w:rsid w:val="00EA3ED3"/>
    <w:rsid w:val="00EA4330"/>
    <w:rsid w:val="00EA650F"/>
    <w:rsid w:val="00EB0248"/>
    <w:rsid w:val="00EB0B6A"/>
    <w:rsid w:val="00EB1CBD"/>
    <w:rsid w:val="00EB2CA1"/>
    <w:rsid w:val="00EB2D13"/>
    <w:rsid w:val="00EB333B"/>
    <w:rsid w:val="00EB5953"/>
    <w:rsid w:val="00EB6DCD"/>
    <w:rsid w:val="00EC069E"/>
    <w:rsid w:val="00EC2093"/>
    <w:rsid w:val="00EC266F"/>
    <w:rsid w:val="00EC32CE"/>
    <w:rsid w:val="00EC344E"/>
    <w:rsid w:val="00EC3926"/>
    <w:rsid w:val="00EC52B5"/>
    <w:rsid w:val="00EC5A83"/>
    <w:rsid w:val="00EC6482"/>
    <w:rsid w:val="00EC7585"/>
    <w:rsid w:val="00ED12BB"/>
    <w:rsid w:val="00ED32B5"/>
    <w:rsid w:val="00ED728A"/>
    <w:rsid w:val="00ED74C4"/>
    <w:rsid w:val="00ED7FE2"/>
    <w:rsid w:val="00EE0578"/>
    <w:rsid w:val="00EE0968"/>
    <w:rsid w:val="00EE14F8"/>
    <w:rsid w:val="00EE1847"/>
    <w:rsid w:val="00EE3035"/>
    <w:rsid w:val="00EE5439"/>
    <w:rsid w:val="00EE6112"/>
    <w:rsid w:val="00EF0C59"/>
    <w:rsid w:val="00EF0C68"/>
    <w:rsid w:val="00EF0EAD"/>
    <w:rsid w:val="00EF1D23"/>
    <w:rsid w:val="00EF45E7"/>
    <w:rsid w:val="00EF4FAC"/>
    <w:rsid w:val="00F00B31"/>
    <w:rsid w:val="00F01613"/>
    <w:rsid w:val="00F030EF"/>
    <w:rsid w:val="00F03E75"/>
    <w:rsid w:val="00F0407A"/>
    <w:rsid w:val="00F04A3F"/>
    <w:rsid w:val="00F04DFC"/>
    <w:rsid w:val="00F056D7"/>
    <w:rsid w:val="00F05921"/>
    <w:rsid w:val="00F065BE"/>
    <w:rsid w:val="00F077B3"/>
    <w:rsid w:val="00F10924"/>
    <w:rsid w:val="00F13A31"/>
    <w:rsid w:val="00F15AF1"/>
    <w:rsid w:val="00F16BC9"/>
    <w:rsid w:val="00F176DA"/>
    <w:rsid w:val="00F208D6"/>
    <w:rsid w:val="00F20BA2"/>
    <w:rsid w:val="00F22151"/>
    <w:rsid w:val="00F22FBB"/>
    <w:rsid w:val="00F2577B"/>
    <w:rsid w:val="00F26556"/>
    <w:rsid w:val="00F27A87"/>
    <w:rsid w:val="00F301A0"/>
    <w:rsid w:val="00F311B7"/>
    <w:rsid w:val="00F3331C"/>
    <w:rsid w:val="00F36A1F"/>
    <w:rsid w:val="00F37713"/>
    <w:rsid w:val="00F411C1"/>
    <w:rsid w:val="00F42462"/>
    <w:rsid w:val="00F4258D"/>
    <w:rsid w:val="00F432F6"/>
    <w:rsid w:val="00F43FA2"/>
    <w:rsid w:val="00F45B06"/>
    <w:rsid w:val="00F45F45"/>
    <w:rsid w:val="00F473BD"/>
    <w:rsid w:val="00F50756"/>
    <w:rsid w:val="00F5079A"/>
    <w:rsid w:val="00F514D4"/>
    <w:rsid w:val="00F53C31"/>
    <w:rsid w:val="00F542C1"/>
    <w:rsid w:val="00F542DD"/>
    <w:rsid w:val="00F576B0"/>
    <w:rsid w:val="00F57838"/>
    <w:rsid w:val="00F6173D"/>
    <w:rsid w:val="00F6582F"/>
    <w:rsid w:val="00F65B85"/>
    <w:rsid w:val="00F67D83"/>
    <w:rsid w:val="00F70B16"/>
    <w:rsid w:val="00F71458"/>
    <w:rsid w:val="00F715BE"/>
    <w:rsid w:val="00F71F53"/>
    <w:rsid w:val="00F722F2"/>
    <w:rsid w:val="00F724F3"/>
    <w:rsid w:val="00F73025"/>
    <w:rsid w:val="00F7537A"/>
    <w:rsid w:val="00F755F9"/>
    <w:rsid w:val="00F75B52"/>
    <w:rsid w:val="00F76629"/>
    <w:rsid w:val="00F77D22"/>
    <w:rsid w:val="00F80A29"/>
    <w:rsid w:val="00F81459"/>
    <w:rsid w:val="00F81B6F"/>
    <w:rsid w:val="00F81FF3"/>
    <w:rsid w:val="00F826C4"/>
    <w:rsid w:val="00F82740"/>
    <w:rsid w:val="00F84952"/>
    <w:rsid w:val="00F85DAE"/>
    <w:rsid w:val="00F86613"/>
    <w:rsid w:val="00F91220"/>
    <w:rsid w:val="00F936B5"/>
    <w:rsid w:val="00F941DC"/>
    <w:rsid w:val="00F947E9"/>
    <w:rsid w:val="00F97588"/>
    <w:rsid w:val="00F979E6"/>
    <w:rsid w:val="00FA02EF"/>
    <w:rsid w:val="00FA0510"/>
    <w:rsid w:val="00FA09A6"/>
    <w:rsid w:val="00FA1188"/>
    <w:rsid w:val="00FA13D9"/>
    <w:rsid w:val="00FA21C8"/>
    <w:rsid w:val="00FA4158"/>
    <w:rsid w:val="00FA4E6C"/>
    <w:rsid w:val="00FA6B44"/>
    <w:rsid w:val="00FA763B"/>
    <w:rsid w:val="00FA7A7E"/>
    <w:rsid w:val="00FA7DFC"/>
    <w:rsid w:val="00FB00B4"/>
    <w:rsid w:val="00FB0EBC"/>
    <w:rsid w:val="00FB34F8"/>
    <w:rsid w:val="00FB5362"/>
    <w:rsid w:val="00FB623D"/>
    <w:rsid w:val="00FB6661"/>
    <w:rsid w:val="00FB6951"/>
    <w:rsid w:val="00FB6A5F"/>
    <w:rsid w:val="00FB6F82"/>
    <w:rsid w:val="00FC0A8F"/>
    <w:rsid w:val="00FC2B36"/>
    <w:rsid w:val="00FC3C0F"/>
    <w:rsid w:val="00FC3F58"/>
    <w:rsid w:val="00FC4438"/>
    <w:rsid w:val="00FC5E98"/>
    <w:rsid w:val="00FC66D0"/>
    <w:rsid w:val="00FC6E6C"/>
    <w:rsid w:val="00FC7BB7"/>
    <w:rsid w:val="00FD01B9"/>
    <w:rsid w:val="00FD0693"/>
    <w:rsid w:val="00FD0B09"/>
    <w:rsid w:val="00FD1009"/>
    <w:rsid w:val="00FD3D5C"/>
    <w:rsid w:val="00FD52EF"/>
    <w:rsid w:val="00FD613E"/>
    <w:rsid w:val="00FD774C"/>
    <w:rsid w:val="00FD7D10"/>
    <w:rsid w:val="00FE14F7"/>
    <w:rsid w:val="00FE1837"/>
    <w:rsid w:val="00FE36B6"/>
    <w:rsid w:val="00FE4FCB"/>
    <w:rsid w:val="00FE58C7"/>
    <w:rsid w:val="00FE5F03"/>
    <w:rsid w:val="00FF3F3B"/>
    <w:rsid w:val="00FF4AD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ostalCode"/>
  <w:smartTagType w:namespaceuri="urn:schemas-microsoft-com:office:smarttags" w:name="place"/>
  <w:shapeDefaults>
    <o:shapedefaults v:ext="edit" spidmax="114689" style="mso-height-percent:200;mso-width-relative:margin;mso-height-relative:margin" fill="f" fillcolor="white" stroke="f">
      <v:fill color="white" on="f"/>
      <v:stroke on="f"/>
      <v:textbox style="mso-fit-shape-to-text:t"/>
      <o:colormenu v:ext="edit" strokecolor="none [3212]"/>
    </o:shapedefaults>
    <o:shapelayout v:ext="edit">
      <o:idmap v:ext="edit" data="1"/>
      <o:rules v:ext="edit">
        <o:r id="V:Rule8" type="connector" idref="#_x0000_s1083"/>
        <o:r id="V:Rule9" type="connector" idref="#_x0000_s1081"/>
        <o:r id="V:Rule10" type="connector" idref="#_x0000_s1065"/>
        <o:r id="V:Rule11" type="connector" idref="#_x0000_s1059"/>
        <o:r id="V:Rule12" type="connector" idref="#_x0000_s1064"/>
        <o:r id="V:Rule13" type="connector" idref="#_x0000_s1080"/>
        <o:r id="V:Rule14" type="connector" idref="#_x0000_s1071"/>
      </o:rules>
      <o:regrouptable v:ext="edit">
        <o:entry new="1" old="0"/>
        <o:entry new="2"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uiPriority="9" w:qFormat="1"/>
    <w:lsdException w:name="heading 9" w:qFormat="1"/>
    <w:lsdException w:name="footer" w:uiPriority="99"/>
    <w:lsdException w:name="caption" w:semiHidden="1" w:unhideWhenUsed="1" w:qFormat="1"/>
    <w:lsdException w:name="endnote reference" w:uiPriority="99"/>
    <w:lsdException w:name="Title" w:qFormat="1"/>
    <w:lsdException w:name="Subtitle" w:qFormat="1"/>
    <w:lsdException w:name="Body Text 2" w:uiPriority="99"/>
    <w:lsdException w:name="Strong" w:qFormat="1"/>
    <w:lsdException w:name="Emphasis" w:uiPriority="20" w:qFormat="1"/>
    <w:lsdException w:name="Normal (Web)"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57420"/>
  </w:style>
  <w:style w:type="paragraph" w:styleId="Heading1">
    <w:name w:val="heading 1"/>
    <w:basedOn w:val="Normal"/>
    <w:next w:val="Normal"/>
    <w:qFormat/>
    <w:rsid w:val="00457420"/>
    <w:pPr>
      <w:keepNext/>
      <w:spacing w:after="120"/>
      <w:ind w:left="634"/>
      <w:outlineLvl w:val="0"/>
    </w:pPr>
    <w:rPr>
      <w:sz w:val="28"/>
    </w:rPr>
  </w:style>
  <w:style w:type="paragraph" w:styleId="Heading2">
    <w:name w:val="heading 2"/>
    <w:basedOn w:val="Normal"/>
    <w:next w:val="Normal"/>
    <w:qFormat/>
    <w:rsid w:val="00457420"/>
    <w:pPr>
      <w:keepNext/>
      <w:ind w:left="630"/>
      <w:outlineLvl w:val="1"/>
    </w:pPr>
    <w:rPr>
      <w:i/>
      <w:sz w:val="23"/>
    </w:rPr>
  </w:style>
  <w:style w:type="paragraph" w:styleId="Heading3">
    <w:name w:val="heading 3"/>
    <w:basedOn w:val="Normal"/>
    <w:next w:val="Normal"/>
    <w:link w:val="Heading3Char"/>
    <w:uiPriority w:val="9"/>
    <w:qFormat/>
    <w:rsid w:val="00457420"/>
    <w:pPr>
      <w:keepNext/>
      <w:jc w:val="center"/>
      <w:outlineLvl w:val="2"/>
    </w:pPr>
    <w:rPr>
      <w:sz w:val="28"/>
    </w:rPr>
  </w:style>
  <w:style w:type="paragraph" w:styleId="Heading4">
    <w:name w:val="heading 4"/>
    <w:basedOn w:val="Normal"/>
    <w:next w:val="Normal"/>
    <w:qFormat/>
    <w:rsid w:val="00457420"/>
    <w:pPr>
      <w:keepNext/>
      <w:jc w:val="center"/>
      <w:outlineLvl w:val="3"/>
    </w:pPr>
    <w:rPr>
      <w:b/>
      <w:sz w:val="22"/>
    </w:rPr>
  </w:style>
  <w:style w:type="paragraph" w:styleId="Heading5">
    <w:name w:val="heading 5"/>
    <w:basedOn w:val="Normal"/>
    <w:next w:val="Normal"/>
    <w:qFormat/>
    <w:rsid w:val="00457420"/>
    <w:pPr>
      <w:keepNext/>
      <w:spacing w:after="120"/>
      <w:ind w:left="720"/>
      <w:outlineLvl w:val="4"/>
    </w:pPr>
    <w:rPr>
      <w:b/>
      <w:sz w:val="22"/>
    </w:rPr>
  </w:style>
  <w:style w:type="paragraph" w:styleId="Heading6">
    <w:name w:val="heading 6"/>
    <w:basedOn w:val="Normal"/>
    <w:next w:val="Normal"/>
    <w:qFormat/>
    <w:rsid w:val="00457420"/>
    <w:pPr>
      <w:keepNext/>
      <w:jc w:val="center"/>
      <w:outlineLvl w:val="5"/>
    </w:pPr>
    <w:rPr>
      <w:b/>
      <w:sz w:val="24"/>
    </w:rPr>
  </w:style>
  <w:style w:type="paragraph" w:styleId="Heading7">
    <w:name w:val="heading 7"/>
    <w:basedOn w:val="Normal"/>
    <w:next w:val="Normal"/>
    <w:qFormat/>
    <w:rsid w:val="00457420"/>
    <w:pPr>
      <w:keepNext/>
      <w:tabs>
        <w:tab w:val="right" w:pos="9648"/>
      </w:tabs>
      <w:spacing w:after="120" w:line="240" w:lineRule="exact"/>
      <w:ind w:left="630"/>
      <w:outlineLvl w:val="6"/>
    </w:pPr>
    <w:rPr>
      <w:b/>
      <w:sz w:val="22"/>
    </w:rPr>
  </w:style>
  <w:style w:type="paragraph" w:styleId="Heading8">
    <w:name w:val="heading 8"/>
    <w:basedOn w:val="Normal"/>
    <w:next w:val="Normal"/>
    <w:link w:val="Heading8Char"/>
    <w:uiPriority w:val="9"/>
    <w:qFormat/>
    <w:rsid w:val="00457420"/>
    <w:pPr>
      <w:keepNext/>
      <w:spacing w:after="120"/>
      <w:outlineLvl w:val="7"/>
    </w:pPr>
    <w:rPr>
      <w:b/>
      <w:caps/>
      <w:sz w:val="22"/>
    </w:rPr>
  </w:style>
  <w:style w:type="paragraph" w:styleId="Heading9">
    <w:name w:val="heading 9"/>
    <w:basedOn w:val="Normal"/>
    <w:next w:val="Normal"/>
    <w:qFormat/>
    <w:rsid w:val="00457420"/>
    <w:pPr>
      <w:keepNext/>
      <w:spacing w:after="120"/>
      <w:ind w:left="360"/>
      <w:outlineLvl w:val="8"/>
    </w:pPr>
    <w:rPr>
      <w:sz w:val="22"/>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uiPriority w:val="99"/>
    <w:semiHidden/>
    <w:rsid w:val="00457420"/>
    <w:rPr>
      <w:vertAlign w:val="superscript"/>
    </w:rPr>
  </w:style>
  <w:style w:type="paragraph" w:styleId="Header">
    <w:name w:val="header"/>
    <w:basedOn w:val="Normal"/>
    <w:link w:val="HeaderChar"/>
    <w:rsid w:val="00457420"/>
    <w:pPr>
      <w:tabs>
        <w:tab w:val="center" w:pos="4320"/>
        <w:tab w:val="right" w:pos="8640"/>
      </w:tabs>
    </w:pPr>
  </w:style>
  <w:style w:type="character" w:styleId="PageNumber">
    <w:name w:val="page number"/>
    <w:basedOn w:val="DefaultParagraphFont"/>
    <w:rsid w:val="00457420"/>
  </w:style>
  <w:style w:type="paragraph" w:styleId="Footer">
    <w:name w:val="footer"/>
    <w:basedOn w:val="Normal"/>
    <w:link w:val="FooterChar"/>
    <w:uiPriority w:val="99"/>
    <w:rsid w:val="00457420"/>
    <w:pPr>
      <w:tabs>
        <w:tab w:val="center" w:pos="4320"/>
        <w:tab w:val="right" w:pos="8640"/>
      </w:tabs>
    </w:pPr>
  </w:style>
  <w:style w:type="paragraph" w:styleId="BodyTextIndent">
    <w:name w:val="Body Text Indent"/>
    <w:basedOn w:val="Normal"/>
    <w:rsid w:val="00457420"/>
    <w:pPr>
      <w:spacing w:after="120"/>
      <w:ind w:left="634"/>
    </w:pPr>
    <w:rPr>
      <w:sz w:val="24"/>
    </w:rPr>
  </w:style>
  <w:style w:type="paragraph" w:styleId="BodyTextIndent2">
    <w:name w:val="Body Text Indent 2"/>
    <w:basedOn w:val="Normal"/>
    <w:rsid w:val="00457420"/>
    <w:pPr>
      <w:tabs>
        <w:tab w:val="left" w:pos="630"/>
      </w:tabs>
      <w:spacing w:after="120"/>
      <w:ind w:left="630"/>
    </w:pPr>
    <w:rPr>
      <w:sz w:val="24"/>
    </w:rPr>
  </w:style>
  <w:style w:type="paragraph" w:styleId="BodyTextIndent3">
    <w:name w:val="Body Text Indent 3"/>
    <w:basedOn w:val="Normal"/>
    <w:rsid w:val="00457420"/>
    <w:pPr>
      <w:spacing w:before="240" w:after="120"/>
      <w:ind w:left="634"/>
      <w:jc w:val="center"/>
    </w:pPr>
    <w:rPr>
      <w:caps/>
      <w:sz w:val="24"/>
    </w:rPr>
  </w:style>
  <w:style w:type="paragraph" w:styleId="BodyText2">
    <w:name w:val="Body Text 2"/>
    <w:basedOn w:val="Normal"/>
    <w:link w:val="BodyText2Char"/>
    <w:uiPriority w:val="99"/>
    <w:rsid w:val="00457420"/>
    <w:pPr>
      <w:numPr>
        <w:ilvl w:val="12"/>
      </w:numPr>
      <w:spacing w:after="120"/>
      <w:jc w:val="both"/>
    </w:pPr>
    <w:rPr>
      <w:sz w:val="22"/>
    </w:rPr>
  </w:style>
  <w:style w:type="paragraph" w:styleId="Title">
    <w:name w:val="Title"/>
    <w:basedOn w:val="Normal"/>
    <w:qFormat/>
    <w:rsid w:val="00457420"/>
    <w:pPr>
      <w:jc w:val="center"/>
    </w:pPr>
    <w:rPr>
      <w:b/>
      <w:sz w:val="24"/>
    </w:rPr>
  </w:style>
  <w:style w:type="paragraph" w:styleId="BodyText">
    <w:name w:val="Body Text"/>
    <w:aliases w:val="SCA Body Text,SCA Body Text1,SCA Body Text2,SCA Body Text11,BodyText-JEA,BT-JEA"/>
    <w:basedOn w:val="Normal"/>
    <w:link w:val="BodyTextChar"/>
    <w:rsid w:val="00457420"/>
    <w:pPr>
      <w:spacing w:after="120"/>
    </w:pPr>
    <w:rPr>
      <w:sz w:val="24"/>
    </w:rPr>
  </w:style>
  <w:style w:type="paragraph" w:styleId="BodyText3">
    <w:name w:val="Body Text 3"/>
    <w:basedOn w:val="Normal"/>
    <w:link w:val="BodyText3Char"/>
    <w:rsid w:val="00457420"/>
    <w:pPr>
      <w:spacing w:before="120" w:after="120"/>
    </w:pPr>
    <w:rPr>
      <w:sz w:val="22"/>
    </w:rPr>
  </w:style>
  <w:style w:type="paragraph" w:customStyle="1" w:styleId="Style4">
    <w:name w:val="Style4"/>
    <w:next w:val="Normal"/>
    <w:rsid w:val="00457420"/>
    <w:rPr>
      <w:noProof/>
      <w:sz w:val="24"/>
    </w:rPr>
  </w:style>
  <w:style w:type="paragraph" w:styleId="BlockText">
    <w:name w:val="Block Text"/>
    <w:basedOn w:val="Normal"/>
    <w:rsid w:val="00457420"/>
    <w:pPr>
      <w:spacing w:after="120"/>
      <w:ind w:left="720" w:right="43"/>
      <w:jc w:val="both"/>
    </w:pPr>
    <w:rPr>
      <w:sz w:val="22"/>
    </w:rPr>
  </w:style>
  <w:style w:type="character" w:styleId="Hyperlink">
    <w:name w:val="Hyperlink"/>
    <w:basedOn w:val="DefaultParagraphFont"/>
    <w:rsid w:val="00457420"/>
    <w:rPr>
      <w:color w:val="0000FF"/>
      <w:u w:val="single"/>
    </w:rPr>
  </w:style>
  <w:style w:type="paragraph" w:customStyle="1" w:styleId="SCATableHeading">
    <w:name w:val="SCA Table Heading"/>
    <w:basedOn w:val="Normal"/>
    <w:rsid w:val="00457420"/>
    <w:pPr>
      <w:jc w:val="center"/>
    </w:pPr>
    <w:rPr>
      <w:b/>
      <w:caps/>
    </w:rPr>
  </w:style>
  <w:style w:type="paragraph" w:customStyle="1" w:styleId="Default">
    <w:name w:val="Default"/>
    <w:rsid w:val="002A28C2"/>
    <w:pPr>
      <w:autoSpaceDE w:val="0"/>
      <w:autoSpaceDN w:val="0"/>
      <w:adjustRightInd w:val="0"/>
    </w:pPr>
    <w:rPr>
      <w:color w:val="000000"/>
      <w:sz w:val="24"/>
      <w:szCs w:val="24"/>
    </w:rPr>
  </w:style>
  <w:style w:type="table" w:styleId="TableGrid">
    <w:name w:val="Table Grid"/>
    <w:basedOn w:val="TableNormal"/>
    <w:uiPriority w:val="59"/>
    <w:rsid w:val="00975E2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oterChar">
    <w:name w:val="Footer Char"/>
    <w:basedOn w:val="DefaultParagraphFont"/>
    <w:link w:val="Footer"/>
    <w:uiPriority w:val="99"/>
    <w:semiHidden/>
    <w:locked/>
    <w:rsid w:val="007A4523"/>
    <w:rPr>
      <w:lang w:val="en-US" w:eastAsia="en-US" w:bidi="ar-SA"/>
    </w:rPr>
  </w:style>
  <w:style w:type="paragraph" w:styleId="BalloonText">
    <w:name w:val="Balloon Text"/>
    <w:basedOn w:val="Normal"/>
    <w:link w:val="BalloonTextChar"/>
    <w:uiPriority w:val="99"/>
    <w:rsid w:val="00597133"/>
    <w:rPr>
      <w:rFonts w:ascii="Tahoma" w:hAnsi="Tahoma" w:cs="Tahoma"/>
      <w:sz w:val="16"/>
      <w:szCs w:val="16"/>
    </w:rPr>
  </w:style>
  <w:style w:type="character" w:customStyle="1" w:styleId="BalloonTextChar">
    <w:name w:val="Balloon Text Char"/>
    <w:basedOn w:val="DefaultParagraphFont"/>
    <w:link w:val="BalloonText"/>
    <w:uiPriority w:val="99"/>
    <w:rsid w:val="00597133"/>
    <w:rPr>
      <w:rFonts w:ascii="Tahoma" w:hAnsi="Tahoma" w:cs="Tahoma"/>
      <w:sz w:val="16"/>
      <w:szCs w:val="16"/>
    </w:rPr>
  </w:style>
  <w:style w:type="paragraph" w:styleId="EndnoteText">
    <w:name w:val="endnote text"/>
    <w:basedOn w:val="Normal"/>
    <w:link w:val="EndnoteTextChar"/>
    <w:rsid w:val="00157327"/>
  </w:style>
  <w:style w:type="character" w:customStyle="1" w:styleId="EndnoteTextChar">
    <w:name w:val="Endnote Text Char"/>
    <w:basedOn w:val="DefaultParagraphFont"/>
    <w:link w:val="EndnoteText"/>
    <w:rsid w:val="00157327"/>
  </w:style>
  <w:style w:type="paragraph" w:styleId="NormalWeb">
    <w:name w:val="Normal (Web)"/>
    <w:basedOn w:val="Normal"/>
    <w:uiPriority w:val="99"/>
    <w:unhideWhenUsed/>
    <w:rsid w:val="00C101F6"/>
    <w:pPr>
      <w:spacing w:before="100" w:beforeAutospacing="1" w:after="100" w:afterAutospacing="1"/>
    </w:pPr>
    <w:rPr>
      <w:sz w:val="24"/>
      <w:szCs w:val="24"/>
    </w:rPr>
  </w:style>
  <w:style w:type="character" w:styleId="Emphasis">
    <w:name w:val="Emphasis"/>
    <w:basedOn w:val="DefaultParagraphFont"/>
    <w:uiPriority w:val="20"/>
    <w:qFormat/>
    <w:rsid w:val="001A47E3"/>
    <w:rPr>
      <w:i/>
      <w:iCs/>
    </w:rPr>
  </w:style>
  <w:style w:type="character" w:styleId="FollowedHyperlink">
    <w:name w:val="FollowedHyperlink"/>
    <w:basedOn w:val="DefaultParagraphFont"/>
    <w:rsid w:val="005B00EC"/>
    <w:rPr>
      <w:color w:val="800080"/>
      <w:u w:val="single"/>
    </w:rPr>
  </w:style>
  <w:style w:type="character" w:customStyle="1" w:styleId="Heading3Char">
    <w:name w:val="Heading 3 Char"/>
    <w:basedOn w:val="DefaultParagraphFont"/>
    <w:link w:val="Heading3"/>
    <w:uiPriority w:val="9"/>
    <w:rsid w:val="001F367F"/>
    <w:rPr>
      <w:sz w:val="28"/>
    </w:rPr>
  </w:style>
  <w:style w:type="character" w:customStyle="1" w:styleId="Heading8Char">
    <w:name w:val="Heading 8 Char"/>
    <w:basedOn w:val="DefaultParagraphFont"/>
    <w:link w:val="Heading8"/>
    <w:uiPriority w:val="9"/>
    <w:rsid w:val="00491F87"/>
    <w:rPr>
      <w:b/>
      <w:caps/>
      <w:sz w:val="22"/>
    </w:rPr>
  </w:style>
  <w:style w:type="character" w:customStyle="1" w:styleId="BodyTextChar">
    <w:name w:val="Body Text Char"/>
    <w:aliases w:val="SCA Body Text Char,SCA Body Text1 Char,SCA Body Text2 Char,SCA Body Text11 Char,BodyText-JEA Char,BT-JEA Char"/>
    <w:basedOn w:val="DefaultParagraphFont"/>
    <w:link w:val="BodyText"/>
    <w:rsid w:val="00491F87"/>
    <w:rPr>
      <w:sz w:val="24"/>
    </w:rPr>
  </w:style>
  <w:style w:type="paragraph" w:styleId="ListParagraph">
    <w:name w:val="List Paragraph"/>
    <w:basedOn w:val="Normal"/>
    <w:uiPriority w:val="34"/>
    <w:qFormat/>
    <w:rsid w:val="009E335D"/>
    <w:pPr>
      <w:ind w:left="720"/>
      <w:contextualSpacing/>
    </w:pPr>
  </w:style>
  <w:style w:type="character" w:customStyle="1" w:styleId="HeaderChar">
    <w:name w:val="Header Char"/>
    <w:basedOn w:val="DefaultParagraphFont"/>
    <w:link w:val="Header"/>
    <w:rsid w:val="00A8125A"/>
  </w:style>
  <w:style w:type="character" w:customStyle="1" w:styleId="BodyText3Char">
    <w:name w:val="Body Text 3 Char"/>
    <w:basedOn w:val="DefaultParagraphFont"/>
    <w:link w:val="BodyText3"/>
    <w:rsid w:val="00A8125A"/>
    <w:rPr>
      <w:sz w:val="22"/>
    </w:rPr>
  </w:style>
  <w:style w:type="paragraph" w:customStyle="1" w:styleId="CDMLetterTEXT">
    <w:name w:val="CDM Letter/TEXT"/>
    <w:basedOn w:val="Normal"/>
    <w:qFormat/>
    <w:rsid w:val="00B104DC"/>
    <w:pPr>
      <w:spacing w:after="240" w:line="280" w:lineRule="exact"/>
    </w:pPr>
    <w:rPr>
      <w:rFonts w:ascii="Cambria" w:hAnsi="Cambria"/>
    </w:rPr>
  </w:style>
  <w:style w:type="paragraph" w:customStyle="1" w:styleId="CDMLetterBULLET">
    <w:name w:val="CDM Letter/BULLET"/>
    <w:basedOn w:val="CDMLetterTEXT"/>
    <w:qFormat/>
    <w:rsid w:val="00B104DC"/>
    <w:pPr>
      <w:numPr>
        <w:numId w:val="4"/>
      </w:numPr>
      <w:tabs>
        <w:tab w:val="left" w:pos="240"/>
      </w:tabs>
      <w:spacing w:after="160"/>
    </w:pPr>
  </w:style>
  <w:style w:type="paragraph" w:customStyle="1" w:styleId="LFTHeading5">
    <w:name w:val="LFT Heading 5"/>
    <w:basedOn w:val="Heading5"/>
    <w:next w:val="LFTBody"/>
    <w:qFormat/>
    <w:rsid w:val="00A60451"/>
    <w:pPr>
      <w:spacing w:after="60" w:line="216" w:lineRule="auto"/>
      <w:ind w:left="0"/>
    </w:pPr>
    <w:rPr>
      <w:rFonts w:asciiTheme="majorHAnsi" w:eastAsia="Calibri" w:hAnsiTheme="majorHAnsi"/>
      <w:b w:val="0"/>
      <w:bCs/>
      <w:i/>
      <w:iCs/>
      <w:color w:val="000000" w:themeColor="text1"/>
      <w:sz w:val="24"/>
      <w:szCs w:val="22"/>
      <w:lang w:bidi="en-US"/>
    </w:rPr>
  </w:style>
  <w:style w:type="paragraph" w:customStyle="1" w:styleId="LFTBody">
    <w:name w:val="LFT Body"/>
    <w:basedOn w:val="Normal"/>
    <w:uiPriority w:val="1"/>
    <w:qFormat/>
    <w:rsid w:val="00A60451"/>
    <w:pPr>
      <w:spacing w:after="200" w:line="264" w:lineRule="auto"/>
    </w:pPr>
    <w:rPr>
      <w:rFonts w:ascii="Cambria" w:eastAsiaTheme="minorHAnsi" w:hAnsi="Cambria" w:cstheme="minorBidi"/>
      <w:sz w:val="21"/>
      <w:szCs w:val="22"/>
      <w:lang w:bidi="en-US"/>
    </w:rPr>
  </w:style>
  <w:style w:type="paragraph" w:customStyle="1" w:styleId="LFTBullet2">
    <w:name w:val="LFT Bullet 2"/>
    <w:basedOn w:val="Normal"/>
    <w:uiPriority w:val="1"/>
    <w:rsid w:val="00A60451"/>
    <w:pPr>
      <w:numPr>
        <w:numId w:val="5"/>
      </w:numPr>
      <w:spacing w:after="200" w:line="264" w:lineRule="auto"/>
    </w:pPr>
    <w:rPr>
      <w:rFonts w:ascii="Cambria" w:eastAsiaTheme="minorHAnsi" w:hAnsi="Cambria" w:cstheme="minorBidi"/>
      <w:sz w:val="21"/>
      <w:szCs w:val="22"/>
      <w:lang w:bidi="en-US"/>
    </w:rPr>
  </w:style>
  <w:style w:type="paragraph" w:customStyle="1" w:styleId="LFTHeading2">
    <w:name w:val="LFT Heading 2"/>
    <w:basedOn w:val="Heading2"/>
    <w:next w:val="LFTBody"/>
    <w:rsid w:val="00377CB5"/>
    <w:pPr>
      <w:spacing w:before="60" w:after="60" w:line="216" w:lineRule="auto"/>
      <w:ind w:left="0"/>
    </w:pPr>
    <w:rPr>
      <w:rFonts w:asciiTheme="majorHAnsi" w:eastAsiaTheme="majorEastAsia" w:hAnsiTheme="majorHAnsi" w:cstheme="majorBidi"/>
      <w:bCs/>
      <w:i w:val="0"/>
      <w:noProof/>
      <w:sz w:val="36"/>
      <w:szCs w:val="26"/>
      <w:lang w:bidi="en-US"/>
    </w:rPr>
  </w:style>
  <w:style w:type="paragraph" w:customStyle="1" w:styleId="LFTTabletext">
    <w:name w:val="LFT Table text"/>
    <w:basedOn w:val="Normal"/>
    <w:qFormat/>
    <w:rsid w:val="00B91830"/>
    <w:pPr>
      <w:spacing w:after="60" w:line="216" w:lineRule="auto"/>
    </w:pPr>
    <w:rPr>
      <w:rFonts w:asciiTheme="majorHAnsi" w:eastAsiaTheme="minorHAnsi" w:hAnsiTheme="majorHAnsi" w:cstheme="minorBidi"/>
      <w:bCs/>
      <w:sz w:val="18"/>
      <w:szCs w:val="22"/>
      <w:lang w:bidi="en-US"/>
    </w:rPr>
  </w:style>
  <w:style w:type="paragraph" w:customStyle="1" w:styleId="LFTTableTitle">
    <w:name w:val="LFT Table Title"/>
    <w:basedOn w:val="Normal"/>
    <w:qFormat/>
    <w:rsid w:val="00B91830"/>
    <w:pPr>
      <w:spacing w:after="60" w:line="216" w:lineRule="auto"/>
    </w:pPr>
    <w:rPr>
      <w:rFonts w:asciiTheme="majorHAnsi" w:eastAsiaTheme="minorHAnsi" w:hAnsiTheme="majorHAnsi" w:cstheme="minorBidi"/>
      <w:b/>
      <w:bCs/>
      <w:sz w:val="21"/>
      <w:szCs w:val="22"/>
      <w:lang w:bidi="en-US"/>
    </w:rPr>
  </w:style>
  <w:style w:type="paragraph" w:customStyle="1" w:styleId="LFTTableheader2">
    <w:name w:val="LFT Table header 2"/>
    <w:basedOn w:val="LFTTabletext"/>
    <w:qFormat/>
    <w:rsid w:val="00B91830"/>
    <w:rPr>
      <w:b/>
    </w:rPr>
  </w:style>
  <w:style w:type="paragraph" w:styleId="Caption">
    <w:name w:val="caption"/>
    <w:basedOn w:val="Normal"/>
    <w:next w:val="Normal"/>
    <w:unhideWhenUsed/>
    <w:qFormat/>
    <w:rsid w:val="0069007F"/>
    <w:pPr>
      <w:spacing w:after="200"/>
    </w:pPr>
    <w:rPr>
      <w:b/>
      <w:bCs/>
      <w:color w:val="4F81BD" w:themeColor="accent1"/>
      <w:sz w:val="18"/>
      <w:szCs w:val="18"/>
    </w:rPr>
  </w:style>
  <w:style w:type="character" w:customStyle="1" w:styleId="BodyText2Char">
    <w:name w:val="Body Text 2 Char"/>
    <w:basedOn w:val="DefaultParagraphFont"/>
    <w:link w:val="BodyText2"/>
    <w:uiPriority w:val="99"/>
    <w:rsid w:val="00467307"/>
    <w:rPr>
      <w:sz w:val="22"/>
    </w:rPr>
  </w:style>
  <w:style w:type="character" w:customStyle="1" w:styleId="apple-converted-space">
    <w:name w:val="apple-converted-space"/>
    <w:basedOn w:val="DefaultParagraphFont"/>
    <w:rsid w:val="00C74B3F"/>
  </w:style>
</w:styles>
</file>

<file path=word/webSettings.xml><?xml version="1.0" encoding="utf-8"?>
<w:webSettings xmlns:r="http://schemas.openxmlformats.org/officeDocument/2006/relationships" xmlns:w="http://schemas.openxmlformats.org/wordprocessingml/2006/main">
  <w:divs>
    <w:div w:id="38408145">
      <w:bodyDiv w:val="1"/>
      <w:marLeft w:val="0"/>
      <w:marRight w:val="0"/>
      <w:marTop w:val="0"/>
      <w:marBottom w:val="0"/>
      <w:divBdr>
        <w:top w:val="none" w:sz="0" w:space="0" w:color="auto"/>
        <w:left w:val="none" w:sz="0" w:space="0" w:color="auto"/>
        <w:bottom w:val="none" w:sz="0" w:space="0" w:color="auto"/>
        <w:right w:val="none" w:sz="0" w:space="0" w:color="auto"/>
      </w:divBdr>
    </w:div>
    <w:div w:id="79261367">
      <w:bodyDiv w:val="1"/>
      <w:marLeft w:val="0"/>
      <w:marRight w:val="0"/>
      <w:marTop w:val="21"/>
      <w:marBottom w:val="537"/>
      <w:divBdr>
        <w:top w:val="none" w:sz="0" w:space="0" w:color="auto"/>
        <w:left w:val="none" w:sz="0" w:space="0" w:color="auto"/>
        <w:bottom w:val="none" w:sz="0" w:space="0" w:color="auto"/>
        <w:right w:val="none" w:sz="0" w:space="0" w:color="auto"/>
      </w:divBdr>
      <w:divsChild>
        <w:div w:id="2119982390">
          <w:marLeft w:val="0"/>
          <w:marRight w:val="0"/>
          <w:marTop w:val="0"/>
          <w:marBottom w:val="0"/>
          <w:divBdr>
            <w:top w:val="none" w:sz="0" w:space="0" w:color="auto"/>
            <w:left w:val="none" w:sz="0" w:space="0" w:color="auto"/>
            <w:bottom w:val="none" w:sz="0" w:space="0" w:color="auto"/>
            <w:right w:val="none" w:sz="0" w:space="0" w:color="auto"/>
          </w:divBdr>
        </w:div>
      </w:divsChild>
    </w:div>
    <w:div w:id="90394176">
      <w:bodyDiv w:val="1"/>
      <w:marLeft w:val="0"/>
      <w:marRight w:val="0"/>
      <w:marTop w:val="23"/>
      <w:marBottom w:val="576"/>
      <w:divBdr>
        <w:top w:val="none" w:sz="0" w:space="0" w:color="auto"/>
        <w:left w:val="none" w:sz="0" w:space="0" w:color="auto"/>
        <w:bottom w:val="none" w:sz="0" w:space="0" w:color="auto"/>
        <w:right w:val="none" w:sz="0" w:space="0" w:color="auto"/>
      </w:divBdr>
      <w:divsChild>
        <w:div w:id="879977065">
          <w:marLeft w:val="0"/>
          <w:marRight w:val="0"/>
          <w:marTop w:val="0"/>
          <w:marBottom w:val="0"/>
          <w:divBdr>
            <w:top w:val="none" w:sz="0" w:space="0" w:color="auto"/>
            <w:left w:val="none" w:sz="0" w:space="0" w:color="auto"/>
            <w:bottom w:val="none" w:sz="0" w:space="0" w:color="auto"/>
            <w:right w:val="none" w:sz="0" w:space="0" w:color="auto"/>
          </w:divBdr>
        </w:div>
      </w:divsChild>
    </w:div>
    <w:div w:id="226690110">
      <w:bodyDiv w:val="1"/>
      <w:marLeft w:val="0"/>
      <w:marRight w:val="0"/>
      <w:marTop w:val="0"/>
      <w:marBottom w:val="0"/>
      <w:divBdr>
        <w:top w:val="none" w:sz="0" w:space="0" w:color="auto"/>
        <w:left w:val="none" w:sz="0" w:space="0" w:color="auto"/>
        <w:bottom w:val="none" w:sz="0" w:space="0" w:color="auto"/>
        <w:right w:val="none" w:sz="0" w:space="0" w:color="auto"/>
      </w:divBdr>
      <w:divsChild>
        <w:div w:id="233122179">
          <w:marLeft w:val="0"/>
          <w:marRight w:val="0"/>
          <w:marTop w:val="0"/>
          <w:marBottom w:val="0"/>
          <w:divBdr>
            <w:top w:val="none" w:sz="0" w:space="0" w:color="auto"/>
            <w:left w:val="none" w:sz="0" w:space="0" w:color="auto"/>
            <w:bottom w:val="none" w:sz="0" w:space="0" w:color="auto"/>
            <w:right w:val="none" w:sz="0" w:space="0" w:color="auto"/>
          </w:divBdr>
          <w:divsChild>
            <w:div w:id="772819917">
              <w:marLeft w:val="2292"/>
              <w:marRight w:val="0"/>
              <w:marTop w:val="0"/>
              <w:marBottom w:val="0"/>
              <w:divBdr>
                <w:top w:val="none" w:sz="0" w:space="0" w:color="auto"/>
                <w:left w:val="none" w:sz="0" w:space="0" w:color="auto"/>
                <w:bottom w:val="none" w:sz="0" w:space="0" w:color="auto"/>
                <w:right w:val="none" w:sz="0" w:space="0" w:color="auto"/>
              </w:divBdr>
              <w:divsChild>
                <w:div w:id="2139178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9146565">
      <w:bodyDiv w:val="1"/>
      <w:marLeft w:val="0"/>
      <w:marRight w:val="0"/>
      <w:marTop w:val="0"/>
      <w:marBottom w:val="0"/>
      <w:divBdr>
        <w:top w:val="none" w:sz="0" w:space="0" w:color="auto"/>
        <w:left w:val="none" w:sz="0" w:space="0" w:color="auto"/>
        <w:bottom w:val="none" w:sz="0" w:space="0" w:color="auto"/>
        <w:right w:val="none" w:sz="0" w:space="0" w:color="auto"/>
      </w:divBdr>
      <w:divsChild>
        <w:div w:id="835076678">
          <w:marLeft w:val="0"/>
          <w:marRight w:val="0"/>
          <w:marTop w:val="0"/>
          <w:marBottom w:val="0"/>
          <w:divBdr>
            <w:top w:val="none" w:sz="0" w:space="0" w:color="auto"/>
            <w:left w:val="none" w:sz="0" w:space="0" w:color="auto"/>
            <w:bottom w:val="none" w:sz="0" w:space="0" w:color="auto"/>
            <w:right w:val="none" w:sz="0" w:space="0" w:color="auto"/>
          </w:divBdr>
          <w:divsChild>
            <w:div w:id="1073774098">
              <w:marLeft w:val="0"/>
              <w:marRight w:val="0"/>
              <w:marTop w:val="0"/>
              <w:marBottom w:val="0"/>
              <w:divBdr>
                <w:top w:val="none" w:sz="0" w:space="0" w:color="auto"/>
                <w:left w:val="none" w:sz="0" w:space="0" w:color="auto"/>
                <w:bottom w:val="none" w:sz="0" w:space="0" w:color="auto"/>
                <w:right w:val="none" w:sz="0" w:space="0" w:color="auto"/>
              </w:divBdr>
              <w:divsChild>
                <w:div w:id="1474561526">
                  <w:marLeft w:val="92"/>
                  <w:marRight w:val="92"/>
                  <w:marTop w:val="0"/>
                  <w:marBottom w:val="0"/>
                  <w:divBdr>
                    <w:top w:val="none" w:sz="0" w:space="0" w:color="auto"/>
                    <w:left w:val="none" w:sz="0" w:space="0" w:color="auto"/>
                    <w:bottom w:val="none" w:sz="0" w:space="0" w:color="auto"/>
                    <w:right w:val="none" w:sz="0" w:space="0" w:color="auto"/>
                  </w:divBdr>
                  <w:divsChild>
                    <w:div w:id="1478103964">
                      <w:marLeft w:val="0"/>
                      <w:marRight w:val="0"/>
                      <w:marTop w:val="0"/>
                      <w:marBottom w:val="0"/>
                      <w:divBdr>
                        <w:top w:val="none" w:sz="0" w:space="0" w:color="auto"/>
                        <w:left w:val="none" w:sz="0" w:space="0" w:color="auto"/>
                        <w:bottom w:val="none" w:sz="0" w:space="0" w:color="auto"/>
                        <w:right w:val="none" w:sz="0" w:space="0" w:color="auto"/>
                      </w:divBdr>
                      <w:divsChild>
                        <w:div w:id="1003052878">
                          <w:marLeft w:val="0"/>
                          <w:marRight w:val="0"/>
                          <w:marTop w:val="0"/>
                          <w:marBottom w:val="0"/>
                          <w:divBdr>
                            <w:top w:val="none" w:sz="0" w:space="0" w:color="auto"/>
                            <w:left w:val="none" w:sz="0" w:space="0" w:color="auto"/>
                            <w:bottom w:val="none" w:sz="0" w:space="0" w:color="auto"/>
                            <w:right w:val="none" w:sz="0" w:space="0" w:color="auto"/>
                          </w:divBdr>
                          <w:divsChild>
                            <w:div w:id="613945984">
                              <w:marLeft w:val="0"/>
                              <w:marRight w:val="0"/>
                              <w:marTop w:val="0"/>
                              <w:marBottom w:val="0"/>
                              <w:divBdr>
                                <w:top w:val="none" w:sz="0" w:space="0" w:color="auto"/>
                                <w:left w:val="none" w:sz="0" w:space="0" w:color="auto"/>
                                <w:bottom w:val="none" w:sz="0" w:space="0" w:color="auto"/>
                                <w:right w:val="none" w:sz="0" w:space="0" w:color="auto"/>
                              </w:divBdr>
                              <w:divsChild>
                                <w:div w:id="4418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28871370">
      <w:bodyDiv w:val="1"/>
      <w:marLeft w:val="0"/>
      <w:marRight w:val="0"/>
      <w:marTop w:val="0"/>
      <w:marBottom w:val="0"/>
      <w:divBdr>
        <w:top w:val="none" w:sz="0" w:space="0" w:color="auto"/>
        <w:left w:val="none" w:sz="0" w:space="0" w:color="auto"/>
        <w:bottom w:val="none" w:sz="0" w:space="0" w:color="auto"/>
        <w:right w:val="none" w:sz="0" w:space="0" w:color="auto"/>
      </w:divBdr>
    </w:div>
    <w:div w:id="494881995">
      <w:bodyDiv w:val="1"/>
      <w:marLeft w:val="0"/>
      <w:marRight w:val="0"/>
      <w:marTop w:val="0"/>
      <w:marBottom w:val="0"/>
      <w:divBdr>
        <w:top w:val="none" w:sz="0" w:space="0" w:color="auto"/>
        <w:left w:val="none" w:sz="0" w:space="0" w:color="auto"/>
        <w:bottom w:val="none" w:sz="0" w:space="0" w:color="auto"/>
        <w:right w:val="none" w:sz="0" w:space="0" w:color="auto"/>
      </w:divBdr>
    </w:div>
    <w:div w:id="639190645">
      <w:bodyDiv w:val="1"/>
      <w:marLeft w:val="0"/>
      <w:marRight w:val="0"/>
      <w:marTop w:val="0"/>
      <w:marBottom w:val="0"/>
      <w:divBdr>
        <w:top w:val="none" w:sz="0" w:space="0" w:color="auto"/>
        <w:left w:val="none" w:sz="0" w:space="0" w:color="auto"/>
        <w:bottom w:val="none" w:sz="0" w:space="0" w:color="auto"/>
        <w:right w:val="none" w:sz="0" w:space="0" w:color="auto"/>
      </w:divBdr>
    </w:div>
    <w:div w:id="644167288">
      <w:bodyDiv w:val="1"/>
      <w:marLeft w:val="0"/>
      <w:marRight w:val="0"/>
      <w:marTop w:val="0"/>
      <w:marBottom w:val="0"/>
      <w:divBdr>
        <w:top w:val="none" w:sz="0" w:space="0" w:color="auto"/>
        <w:left w:val="none" w:sz="0" w:space="0" w:color="auto"/>
        <w:bottom w:val="none" w:sz="0" w:space="0" w:color="auto"/>
        <w:right w:val="none" w:sz="0" w:space="0" w:color="auto"/>
      </w:divBdr>
      <w:divsChild>
        <w:div w:id="1326275311">
          <w:marLeft w:val="0"/>
          <w:marRight w:val="0"/>
          <w:marTop w:val="0"/>
          <w:marBottom w:val="0"/>
          <w:divBdr>
            <w:top w:val="single" w:sz="4" w:space="0" w:color="000000"/>
            <w:left w:val="single" w:sz="4" w:space="0" w:color="000000"/>
            <w:bottom w:val="single" w:sz="4" w:space="0" w:color="000000"/>
            <w:right w:val="single" w:sz="4" w:space="0" w:color="000000"/>
          </w:divBdr>
          <w:divsChild>
            <w:div w:id="1878396697">
              <w:marLeft w:val="0"/>
              <w:marRight w:val="0"/>
              <w:marTop w:val="0"/>
              <w:marBottom w:val="0"/>
              <w:divBdr>
                <w:top w:val="none" w:sz="0" w:space="0" w:color="auto"/>
                <w:left w:val="none" w:sz="0" w:space="0" w:color="auto"/>
                <w:bottom w:val="none" w:sz="0" w:space="0" w:color="auto"/>
                <w:right w:val="none" w:sz="0" w:space="0" w:color="auto"/>
              </w:divBdr>
              <w:divsChild>
                <w:div w:id="945843958">
                  <w:marLeft w:val="0"/>
                  <w:marRight w:val="0"/>
                  <w:marTop w:val="0"/>
                  <w:marBottom w:val="0"/>
                  <w:divBdr>
                    <w:top w:val="none" w:sz="0" w:space="0" w:color="auto"/>
                    <w:left w:val="none" w:sz="0" w:space="0" w:color="auto"/>
                    <w:bottom w:val="none" w:sz="0" w:space="0" w:color="auto"/>
                    <w:right w:val="none" w:sz="0" w:space="0" w:color="auto"/>
                  </w:divBdr>
                  <w:divsChild>
                    <w:div w:id="448091807">
                      <w:marLeft w:val="0"/>
                      <w:marRight w:val="0"/>
                      <w:marTop w:val="0"/>
                      <w:marBottom w:val="0"/>
                      <w:divBdr>
                        <w:top w:val="none" w:sz="0" w:space="0" w:color="auto"/>
                        <w:left w:val="none" w:sz="0" w:space="0" w:color="auto"/>
                        <w:bottom w:val="none" w:sz="0" w:space="0" w:color="auto"/>
                        <w:right w:val="none" w:sz="0" w:space="0" w:color="auto"/>
                      </w:divBdr>
                      <w:divsChild>
                        <w:div w:id="353043040">
                          <w:marLeft w:val="0"/>
                          <w:marRight w:val="0"/>
                          <w:marTop w:val="0"/>
                          <w:marBottom w:val="0"/>
                          <w:divBdr>
                            <w:top w:val="none" w:sz="0" w:space="0" w:color="auto"/>
                            <w:left w:val="none" w:sz="0" w:space="0" w:color="auto"/>
                            <w:bottom w:val="none" w:sz="0" w:space="0" w:color="auto"/>
                            <w:right w:val="none" w:sz="0" w:space="0" w:color="auto"/>
                          </w:divBdr>
                          <w:divsChild>
                            <w:div w:id="1023746468">
                              <w:marLeft w:val="0"/>
                              <w:marRight w:val="0"/>
                              <w:marTop w:val="0"/>
                              <w:marBottom w:val="0"/>
                              <w:divBdr>
                                <w:top w:val="none" w:sz="0" w:space="0" w:color="auto"/>
                                <w:left w:val="none" w:sz="0" w:space="0" w:color="auto"/>
                                <w:bottom w:val="none" w:sz="0" w:space="0" w:color="auto"/>
                                <w:right w:val="none" w:sz="0" w:space="0" w:color="auto"/>
                              </w:divBdr>
                              <w:divsChild>
                                <w:div w:id="1315912656">
                                  <w:marLeft w:val="0"/>
                                  <w:marRight w:val="0"/>
                                  <w:marTop w:val="0"/>
                                  <w:marBottom w:val="0"/>
                                  <w:divBdr>
                                    <w:top w:val="none" w:sz="0" w:space="0" w:color="auto"/>
                                    <w:left w:val="none" w:sz="0" w:space="0" w:color="auto"/>
                                    <w:bottom w:val="none" w:sz="0" w:space="0" w:color="auto"/>
                                    <w:right w:val="none" w:sz="0" w:space="0" w:color="auto"/>
                                  </w:divBdr>
                                  <w:divsChild>
                                    <w:div w:id="247228112">
                                      <w:marLeft w:val="0"/>
                                      <w:marRight w:val="0"/>
                                      <w:marTop w:val="0"/>
                                      <w:marBottom w:val="0"/>
                                      <w:divBdr>
                                        <w:top w:val="none" w:sz="0" w:space="0" w:color="auto"/>
                                        <w:left w:val="none" w:sz="0" w:space="0" w:color="auto"/>
                                        <w:bottom w:val="none" w:sz="0" w:space="0" w:color="auto"/>
                                        <w:right w:val="none" w:sz="0" w:space="0" w:color="auto"/>
                                      </w:divBdr>
                                      <w:divsChild>
                                        <w:div w:id="868757334">
                                          <w:marLeft w:val="0"/>
                                          <w:marRight w:val="0"/>
                                          <w:marTop w:val="0"/>
                                          <w:marBottom w:val="0"/>
                                          <w:divBdr>
                                            <w:top w:val="none" w:sz="0" w:space="0" w:color="auto"/>
                                            <w:left w:val="none" w:sz="0" w:space="0" w:color="auto"/>
                                            <w:bottom w:val="none" w:sz="0" w:space="0" w:color="auto"/>
                                            <w:right w:val="none" w:sz="0" w:space="0" w:color="auto"/>
                                          </w:divBdr>
                                          <w:divsChild>
                                            <w:div w:id="1408187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07294490">
      <w:bodyDiv w:val="1"/>
      <w:marLeft w:val="0"/>
      <w:marRight w:val="0"/>
      <w:marTop w:val="0"/>
      <w:marBottom w:val="0"/>
      <w:divBdr>
        <w:top w:val="none" w:sz="0" w:space="0" w:color="auto"/>
        <w:left w:val="none" w:sz="0" w:space="0" w:color="auto"/>
        <w:bottom w:val="none" w:sz="0" w:space="0" w:color="auto"/>
        <w:right w:val="none" w:sz="0" w:space="0" w:color="auto"/>
      </w:divBdr>
    </w:div>
    <w:div w:id="760415656">
      <w:bodyDiv w:val="1"/>
      <w:marLeft w:val="0"/>
      <w:marRight w:val="0"/>
      <w:marTop w:val="0"/>
      <w:marBottom w:val="0"/>
      <w:divBdr>
        <w:top w:val="none" w:sz="0" w:space="0" w:color="auto"/>
        <w:left w:val="none" w:sz="0" w:space="0" w:color="auto"/>
        <w:bottom w:val="none" w:sz="0" w:space="0" w:color="auto"/>
        <w:right w:val="none" w:sz="0" w:space="0" w:color="auto"/>
      </w:divBdr>
      <w:divsChild>
        <w:div w:id="104229686">
          <w:marLeft w:val="0"/>
          <w:marRight w:val="0"/>
          <w:marTop w:val="0"/>
          <w:marBottom w:val="0"/>
          <w:divBdr>
            <w:top w:val="none" w:sz="0" w:space="0" w:color="auto"/>
            <w:left w:val="none" w:sz="0" w:space="0" w:color="auto"/>
            <w:bottom w:val="none" w:sz="0" w:space="0" w:color="auto"/>
            <w:right w:val="none" w:sz="0" w:space="0" w:color="auto"/>
          </w:divBdr>
          <w:divsChild>
            <w:div w:id="812253931">
              <w:marLeft w:val="0"/>
              <w:marRight w:val="0"/>
              <w:marTop w:val="0"/>
              <w:marBottom w:val="0"/>
              <w:divBdr>
                <w:top w:val="none" w:sz="0" w:space="0" w:color="auto"/>
                <w:left w:val="none" w:sz="0" w:space="0" w:color="auto"/>
                <w:bottom w:val="none" w:sz="0" w:space="0" w:color="auto"/>
                <w:right w:val="none" w:sz="0" w:space="0" w:color="auto"/>
              </w:divBdr>
              <w:divsChild>
                <w:div w:id="1700742073">
                  <w:marLeft w:val="55"/>
                  <w:marRight w:val="46"/>
                  <w:marTop w:val="0"/>
                  <w:marBottom w:val="46"/>
                  <w:divBdr>
                    <w:top w:val="none" w:sz="0" w:space="0" w:color="auto"/>
                    <w:left w:val="single" w:sz="4" w:space="2" w:color="CCCCCC"/>
                    <w:bottom w:val="single" w:sz="4" w:space="2" w:color="CCCCCC"/>
                    <w:right w:val="single" w:sz="4" w:space="2" w:color="CCCCCC"/>
                  </w:divBdr>
                </w:div>
              </w:divsChild>
            </w:div>
          </w:divsChild>
        </w:div>
      </w:divsChild>
    </w:div>
    <w:div w:id="788429320">
      <w:bodyDiv w:val="1"/>
      <w:marLeft w:val="0"/>
      <w:marRight w:val="0"/>
      <w:marTop w:val="0"/>
      <w:marBottom w:val="0"/>
      <w:divBdr>
        <w:top w:val="none" w:sz="0" w:space="0" w:color="auto"/>
        <w:left w:val="none" w:sz="0" w:space="0" w:color="auto"/>
        <w:bottom w:val="none" w:sz="0" w:space="0" w:color="auto"/>
        <w:right w:val="none" w:sz="0" w:space="0" w:color="auto"/>
      </w:divBdr>
    </w:div>
    <w:div w:id="798456748">
      <w:bodyDiv w:val="1"/>
      <w:marLeft w:val="0"/>
      <w:marRight w:val="0"/>
      <w:marTop w:val="0"/>
      <w:marBottom w:val="0"/>
      <w:divBdr>
        <w:top w:val="none" w:sz="0" w:space="0" w:color="auto"/>
        <w:left w:val="none" w:sz="0" w:space="0" w:color="auto"/>
        <w:bottom w:val="none" w:sz="0" w:space="0" w:color="auto"/>
        <w:right w:val="none" w:sz="0" w:space="0" w:color="auto"/>
      </w:divBdr>
    </w:div>
    <w:div w:id="803038912">
      <w:bodyDiv w:val="1"/>
      <w:marLeft w:val="0"/>
      <w:marRight w:val="0"/>
      <w:marTop w:val="0"/>
      <w:marBottom w:val="0"/>
      <w:divBdr>
        <w:top w:val="none" w:sz="0" w:space="0" w:color="auto"/>
        <w:left w:val="none" w:sz="0" w:space="0" w:color="auto"/>
        <w:bottom w:val="none" w:sz="0" w:space="0" w:color="auto"/>
        <w:right w:val="none" w:sz="0" w:space="0" w:color="auto"/>
      </w:divBdr>
    </w:div>
    <w:div w:id="866527804">
      <w:bodyDiv w:val="1"/>
      <w:marLeft w:val="0"/>
      <w:marRight w:val="0"/>
      <w:marTop w:val="0"/>
      <w:marBottom w:val="0"/>
      <w:divBdr>
        <w:top w:val="none" w:sz="0" w:space="0" w:color="auto"/>
        <w:left w:val="none" w:sz="0" w:space="0" w:color="auto"/>
        <w:bottom w:val="none" w:sz="0" w:space="0" w:color="auto"/>
        <w:right w:val="none" w:sz="0" w:space="0" w:color="auto"/>
      </w:divBdr>
    </w:div>
    <w:div w:id="885990679">
      <w:bodyDiv w:val="1"/>
      <w:marLeft w:val="0"/>
      <w:marRight w:val="0"/>
      <w:marTop w:val="0"/>
      <w:marBottom w:val="0"/>
      <w:divBdr>
        <w:top w:val="none" w:sz="0" w:space="0" w:color="auto"/>
        <w:left w:val="none" w:sz="0" w:space="0" w:color="auto"/>
        <w:bottom w:val="none" w:sz="0" w:space="0" w:color="auto"/>
        <w:right w:val="none" w:sz="0" w:space="0" w:color="auto"/>
      </w:divBdr>
      <w:divsChild>
        <w:div w:id="594024634">
          <w:marLeft w:val="0"/>
          <w:marRight w:val="0"/>
          <w:marTop w:val="0"/>
          <w:marBottom w:val="0"/>
          <w:divBdr>
            <w:top w:val="none" w:sz="0" w:space="0" w:color="auto"/>
            <w:left w:val="none" w:sz="0" w:space="0" w:color="auto"/>
            <w:bottom w:val="none" w:sz="0" w:space="0" w:color="auto"/>
            <w:right w:val="none" w:sz="0" w:space="0" w:color="auto"/>
          </w:divBdr>
          <w:divsChild>
            <w:div w:id="1837958879">
              <w:marLeft w:val="0"/>
              <w:marRight w:val="0"/>
              <w:marTop w:val="111"/>
              <w:marBottom w:val="0"/>
              <w:divBdr>
                <w:top w:val="none" w:sz="0" w:space="0" w:color="auto"/>
                <w:left w:val="none" w:sz="0" w:space="0" w:color="auto"/>
                <w:bottom w:val="none" w:sz="0" w:space="0" w:color="auto"/>
                <w:right w:val="none" w:sz="0" w:space="0" w:color="auto"/>
              </w:divBdr>
              <w:divsChild>
                <w:div w:id="190801780">
                  <w:marLeft w:val="0"/>
                  <w:marRight w:val="0"/>
                  <w:marTop w:val="0"/>
                  <w:marBottom w:val="0"/>
                  <w:divBdr>
                    <w:top w:val="none" w:sz="0" w:space="0" w:color="auto"/>
                    <w:left w:val="none" w:sz="0" w:space="0" w:color="auto"/>
                    <w:bottom w:val="none" w:sz="0" w:space="0" w:color="auto"/>
                    <w:right w:val="none" w:sz="0" w:space="0" w:color="auto"/>
                  </w:divBdr>
                  <w:divsChild>
                    <w:div w:id="903372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9895991">
      <w:bodyDiv w:val="1"/>
      <w:marLeft w:val="0"/>
      <w:marRight w:val="0"/>
      <w:marTop w:val="0"/>
      <w:marBottom w:val="0"/>
      <w:divBdr>
        <w:top w:val="none" w:sz="0" w:space="0" w:color="auto"/>
        <w:left w:val="none" w:sz="0" w:space="0" w:color="auto"/>
        <w:bottom w:val="none" w:sz="0" w:space="0" w:color="auto"/>
        <w:right w:val="none" w:sz="0" w:space="0" w:color="auto"/>
      </w:divBdr>
      <w:divsChild>
        <w:div w:id="134684969">
          <w:marLeft w:val="0"/>
          <w:marRight w:val="0"/>
          <w:marTop w:val="0"/>
          <w:marBottom w:val="0"/>
          <w:divBdr>
            <w:top w:val="single" w:sz="4" w:space="0" w:color="000000"/>
            <w:left w:val="single" w:sz="4" w:space="0" w:color="000000"/>
            <w:bottom w:val="single" w:sz="4" w:space="0" w:color="000000"/>
            <w:right w:val="single" w:sz="4" w:space="0" w:color="000000"/>
          </w:divBdr>
          <w:divsChild>
            <w:div w:id="687176429">
              <w:marLeft w:val="0"/>
              <w:marRight w:val="0"/>
              <w:marTop w:val="0"/>
              <w:marBottom w:val="0"/>
              <w:divBdr>
                <w:top w:val="none" w:sz="0" w:space="0" w:color="auto"/>
                <w:left w:val="none" w:sz="0" w:space="0" w:color="auto"/>
                <w:bottom w:val="none" w:sz="0" w:space="0" w:color="auto"/>
                <w:right w:val="none" w:sz="0" w:space="0" w:color="auto"/>
              </w:divBdr>
              <w:divsChild>
                <w:div w:id="1536043269">
                  <w:marLeft w:val="0"/>
                  <w:marRight w:val="0"/>
                  <w:marTop w:val="0"/>
                  <w:marBottom w:val="0"/>
                  <w:divBdr>
                    <w:top w:val="none" w:sz="0" w:space="0" w:color="auto"/>
                    <w:left w:val="none" w:sz="0" w:space="0" w:color="auto"/>
                    <w:bottom w:val="none" w:sz="0" w:space="0" w:color="auto"/>
                    <w:right w:val="none" w:sz="0" w:space="0" w:color="auto"/>
                  </w:divBdr>
                  <w:divsChild>
                    <w:div w:id="1584994989">
                      <w:marLeft w:val="0"/>
                      <w:marRight w:val="0"/>
                      <w:marTop w:val="0"/>
                      <w:marBottom w:val="0"/>
                      <w:divBdr>
                        <w:top w:val="none" w:sz="0" w:space="0" w:color="auto"/>
                        <w:left w:val="none" w:sz="0" w:space="0" w:color="auto"/>
                        <w:bottom w:val="none" w:sz="0" w:space="0" w:color="auto"/>
                        <w:right w:val="none" w:sz="0" w:space="0" w:color="auto"/>
                      </w:divBdr>
                      <w:divsChild>
                        <w:div w:id="1838956527">
                          <w:marLeft w:val="0"/>
                          <w:marRight w:val="0"/>
                          <w:marTop w:val="0"/>
                          <w:marBottom w:val="0"/>
                          <w:divBdr>
                            <w:top w:val="none" w:sz="0" w:space="0" w:color="auto"/>
                            <w:left w:val="none" w:sz="0" w:space="0" w:color="auto"/>
                            <w:bottom w:val="none" w:sz="0" w:space="0" w:color="auto"/>
                            <w:right w:val="none" w:sz="0" w:space="0" w:color="auto"/>
                          </w:divBdr>
                          <w:divsChild>
                            <w:div w:id="670447696">
                              <w:marLeft w:val="0"/>
                              <w:marRight w:val="0"/>
                              <w:marTop w:val="0"/>
                              <w:marBottom w:val="0"/>
                              <w:divBdr>
                                <w:top w:val="none" w:sz="0" w:space="0" w:color="auto"/>
                                <w:left w:val="none" w:sz="0" w:space="0" w:color="auto"/>
                                <w:bottom w:val="none" w:sz="0" w:space="0" w:color="auto"/>
                                <w:right w:val="none" w:sz="0" w:space="0" w:color="auto"/>
                              </w:divBdr>
                              <w:divsChild>
                                <w:div w:id="1662467464">
                                  <w:marLeft w:val="0"/>
                                  <w:marRight w:val="0"/>
                                  <w:marTop w:val="0"/>
                                  <w:marBottom w:val="0"/>
                                  <w:divBdr>
                                    <w:top w:val="none" w:sz="0" w:space="0" w:color="auto"/>
                                    <w:left w:val="none" w:sz="0" w:space="0" w:color="auto"/>
                                    <w:bottom w:val="none" w:sz="0" w:space="0" w:color="auto"/>
                                    <w:right w:val="none" w:sz="0" w:space="0" w:color="auto"/>
                                  </w:divBdr>
                                  <w:divsChild>
                                    <w:div w:id="788935249">
                                      <w:marLeft w:val="0"/>
                                      <w:marRight w:val="0"/>
                                      <w:marTop w:val="0"/>
                                      <w:marBottom w:val="0"/>
                                      <w:divBdr>
                                        <w:top w:val="none" w:sz="0" w:space="0" w:color="auto"/>
                                        <w:left w:val="none" w:sz="0" w:space="0" w:color="auto"/>
                                        <w:bottom w:val="none" w:sz="0" w:space="0" w:color="auto"/>
                                        <w:right w:val="none" w:sz="0" w:space="0" w:color="auto"/>
                                      </w:divBdr>
                                      <w:divsChild>
                                        <w:div w:id="726956962">
                                          <w:marLeft w:val="0"/>
                                          <w:marRight w:val="0"/>
                                          <w:marTop w:val="0"/>
                                          <w:marBottom w:val="0"/>
                                          <w:divBdr>
                                            <w:top w:val="none" w:sz="0" w:space="0" w:color="auto"/>
                                            <w:left w:val="none" w:sz="0" w:space="0" w:color="auto"/>
                                            <w:bottom w:val="none" w:sz="0" w:space="0" w:color="auto"/>
                                            <w:right w:val="none" w:sz="0" w:space="0" w:color="auto"/>
                                          </w:divBdr>
                                          <w:divsChild>
                                            <w:div w:id="1261841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79503426">
      <w:bodyDiv w:val="1"/>
      <w:marLeft w:val="0"/>
      <w:marRight w:val="0"/>
      <w:marTop w:val="0"/>
      <w:marBottom w:val="0"/>
      <w:divBdr>
        <w:top w:val="none" w:sz="0" w:space="0" w:color="auto"/>
        <w:left w:val="none" w:sz="0" w:space="0" w:color="auto"/>
        <w:bottom w:val="none" w:sz="0" w:space="0" w:color="auto"/>
        <w:right w:val="none" w:sz="0" w:space="0" w:color="auto"/>
      </w:divBdr>
    </w:div>
    <w:div w:id="988484277">
      <w:bodyDiv w:val="1"/>
      <w:marLeft w:val="0"/>
      <w:marRight w:val="0"/>
      <w:marTop w:val="21"/>
      <w:marBottom w:val="537"/>
      <w:divBdr>
        <w:top w:val="none" w:sz="0" w:space="0" w:color="auto"/>
        <w:left w:val="none" w:sz="0" w:space="0" w:color="auto"/>
        <w:bottom w:val="none" w:sz="0" w:space="0" w:color="auto"/>
        <w:right w:val="none" w:sz="0" w:space="0" w:color="auto"/>
      </w:divBdr>
      <w:divsChild>
        <w:div w:id="1453330988">
          <w:marLeft w:val="0"/>
          <w:marRight w:val="0"/>
          <w:marTop w:val="0"/>
          <w:marBottom w:val="0"/>
          <w:divBdr>
            <w:top w:val="none" w:sz="0" w:space="0" w:color="auto"/>
            <w:left w:val="none" w:sz="0" w:space="0" w:color="auto"/>
            <w:bottom w:val="none" w:sz="0" w:space="0" w:color="auto"/>
            <w:right w:val="none" w:sz="0" w:space="0" w:color="auto"/>
          </w:divBdr>
        </w:div>
      </w:divsChild>
    </w:div>
    <w:div w:id="1044867922">
      <w:bodyDiv w:val="1"/>
      <w:marLeft w:val="0"/>
      <w:marRight w:val="0"/>
      <w:marTop w:val="0"/>
      <w:marBottom w:val="0"/>
      <w:divBdr>
        <w:top w:val="none" w:sz="0" w:space="0" w:color="auto"/>
        <w:left w:val="none" w:sz="0" w:space="0" w:color="auto"/>
        <w:bottom w:val="none" w:sz="0" w:space="0" w:color="auto"/>
        <w:right w:val="none" w:sz="0" w:space="0" w:color="auto"/>
      </w:divBdr>
      <w:divsChild>
        <w:div w:id="1790314228">
          <w:marLeft w:val="0"/>
          <w:marRight w:val="0"/>
          <w:marTop w:val="0"/>
          <w:marBottom w:val="0"/>
          <w:divBdr>
            <w:top w:val="single" w:sz="4" w:space="0" w:color="000000"/>
            <w:left w:val="single" w:sz="4" w:space="0" w:color="000000"/>
            <w:bottom w:val="single" w:sz="4" w:space="0" w:color="000000"/>
            <w:right w:val="single" w:sz="4" w:space="0" w:color="000000"/>
          </w:divBdr>
          <w:divsChild>
            <w:div w:id="1647587030">
              <w:marLeft w:val="0"/>
              <w:marRight w:val="0"/>
              <w:marTop w:val="0"/>
              <w:marBottom w:val="0"/>
              <w:divBdr>
                <w:top w:val="none" w:sz="0" w:space="0" w:color="auto"/>
                <w:left w:val="none" w:sz="0" w:space="0" w:color="auto"/>
                <w:bottom w:val="none" w:sz="0" w:space="0" w:color="auto"/>
                <w:right w:val="none" w:sz="0" w:space="0" w:color="auto"/>
              </w:divBdr>
              <w:divsChild>
                <w:div w:id="866603123">
                  <w:marLeft w:val="0"/>
                  <w:marRight w:val="0"/>
                  <w:marTop w:val="0"/>
                  <w:marBottom w:val="0"/>
                  <w:divBdr>
                    <w:top w:val="none" w:sz="0" w:space="0" w:color="auto"/>
                    <w:left w:val="none" w:sz="0" w:space="0" w:color="auto"/>
                    <w:bottom w:val="none" w:sz="0" w:space="0" w:color="auto"/>
                    <w:right w:val="none" w:sz="0" w:space="0" w:color="auto"/>
                  </w:divBdr>
                  <w:divsChild>
                    <w:div w:id="571354890">
                      <w:marLeft w:val="0"/>
                      <w:marRight w:val="0"/>
                      <w:marTop w:val="0"/>
                      <w:marBottom w:val="0"/>
                      <w:divBdr>
                        <w:top w:val="none" w:sz="0" w:space="0" w:color="auto"/>
                        <w:left w:val="none" w:sz="0" w:space="0" w:color="auto"/>
                        <w:bottom w:val="none" w:sz="0" w:space="0" w:color="auto"/>
                        <w:right w:val="none" w:sz="0" w:space="0" w:color="auto"/>
                      </w:divBdr>
                      <w:divsChild>
                        <w:div w:id="669528895">
                          <w:marLeft w:val="0"/>
                          <w:marRight w:val="0"/>
                          <w:marTop w:val="0"/>
                          <w:marBottom w:val="0"/>
                          <w:divBdr>
                            <w:top w:val="none" w:sz="0" w:space="0" w:color="auto"/>
                            <w:left w:val="none" w:sz="0" w:space="0" w:color="auto"/>
                            <w:bottom w:val="none" w:sz="0" w:space="0" w:color="auto"/>
                            <w:right w:val="none" w:sz="0" w:space="0" w:color="auto"/>
                          </w:divBdr>
                          <w:divsChild>
                            <w:div w:id="1574659761">
                              <w:marLeft w:val="0"/>
                              <w:marRight w:val="0"/>
                              <w:marTop w:val="0"/>
                              <w:marBottom w:val="0"/>
                              <w:divBdr>
                                <w:top w:val="none" w:sz="0" w:space="0" w:color="auto"/>
                                <w:left w:val="none" w:sz="0" w:space="0" w:color="auto"/>
                                <w:bottom w:val="none" w:sz="0" w:space="0" w:color="auto"/>
                                <w:right w:val="none" w:sz="0" w:space="0" w:color="auto"/>
                              </w:divBdr>
                              <w:divsChild>
                                <w:div w:id="720785002">
                                  <w:marLeft w:val="0"/>
                                  <w:marRight w:val="0"/>
                                  <w:marTop w:val="0"/>
                                  <w:marBottom w:val="0"/>
                                  <w:divBdr>
                                    <w:top w:val="none" w:sz="0" w:space="0" w:color="auto"/>
                                    <w:left w:val="none" w:sz="0" w:space="0" w:color="auto"/>
                                    <w:bottom w:val="none" w:sz="0" w:space="0" w:color="auto"/>
                                    <w:right w:val="none" w:sz="0" w:space="0" w:color="auto"/>
                                  </w:divBdr>
                                  <w:divsChild>
                                    <w:div w:id="1185169073">
                                      <w:marLeft w:val="0"/>
                                      <w:marRight w:val="0"/>
                                      <w:marTop w:val="0"/>
                                      <w:marBottom w:val="0"/>
                                      <w:divBdr>
                                        <w:top w:val="none" w:sz="0" w:space="0" w:color="auto"/>
                                        <w:left w:val="none" w:sz="0" w:space="0" w:color="auto"/>
                                        <w:bottom w:val="none" w:sz="0" w:space="0" w:color="auto"/>
                                        <w:right w:val="none" w:sz="0" w:space="0" w:color="auto"/>
                                      </w:divBdr>
                                      <w:divsChild>
                                        <w:div w:id="379019329">
                                          <w:marLeft w:val="0"/>
                                          <w:marRight w:val="0"/>
                                          <w:marTop w:val="0"/>
                                          <w:marBottom w:val="0"/>
                                          <w:divBdr>
                                            <w:top w:val="none" w:sz="0" w:space="0" w:color="auto"/>
                                            <w:left w:val="none" w:sz="0" w:space="0" w:color="auto"/>
                                            <w:bottom w:val="none" w:sz="0" w:space="0" w:color="auto"/>
                                            <w:right w:val="none" w:sz="0" w:space="0" w:color="auto"/>
                                          </w:divBdr>
                                          <w:divsChild>
                                            <w:div w:id="1203401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34444415">
      <w:bodyDiv w:val="1"/>
      <w:marLeft w:val="0"/>
      <w:marRight w:val="0"/>
      <w:marTop w:val="21"/>
      <w:marBottom w:val="537"/>
      <w:divBdr>
        <w:top w:val="none" w:sz="0" w:space="0" w:color="auto"/>
        <w:left w:val="none" w:sz="0" w:space="0" w:color="auto"/>
        <w:bottom w:val="none" w:sz="0" w:space="0" w:color="auto"/>
        <w:right w:val="none" w:sz="0" w:space="0" w:color="auto"/>
      </w:divBdr>
      <w:divsChild>
        <w:div w:id="1187327955">
          <w:marLeft w:val="0"/>
          <w:marRight w:val="0"/>
          <w:marTop w:val="0"/>
          <w:marBottom w:val="0"/>
          <w:divBdr>
            <w:top w:val="none" w:sz="0" w:space="0" w:color="auto"/>
            <w:left w:val="none" w:sz="0" w:space="0" w:color="auto"/>
            <w:bottom w:val="none" w:sz="0" w:space="0" w:color="auto"/>
            <w:right w:val="none" w:sz="0" w:space="0" w:color="auto"/>
          </w:divBdr>
        </w:div>
      </w:divsChild>
    </w:div>
    <w:div w:id="1151141316">
      <w:bodyDiv w:val="1"/>
      <w:marLeft w:val="0"/>
      <w:marRight w:val="0"/>
      <w:marTop w:val="21"/>
      <w:marBottom w:val="537"/>
      <w:divBdr>
        <w:top w:val="none" w:sz="0" w:space="0" w:color="auto"/>
        <w:left w:val="none" w:sz="0" w:space="0" w:color="auto"/>
        <w:bottom w:val="none" w:sz="0" w:space="0" w:color="auto"/>
        <w:right w:val="none" w:sz="0" w:space="0" w:color="auto"/>
      </w:divBdr>
      <w:divsChild>
        <w:div w:id="971329463">
          <w:marLeft w:val="0"/>
          <w:marRight w:val="0"/>
          <w:marTop w:val="0"/>
          <w:marBottom w:val="0"/>
          <w:divBdr>
            <w:top w:val="none" w:sz="0" w:space="0" w:color="auto"/>
            <w:left w:val="none" w:sz="0" w:space="0" w:color="auto"/>
            <w:bottom w:val="none" w:sz="0" w:space="0" w:color="auto"/>
            <w:right w:val="none" w:sz="0" w:space="0" w:color="auto"/>
          </w:divBdr>
        </w:div>
      </w:divsChild>
    </w:div>
    <w:div w:id="1179545096">
      <w:bodyDiv w:val="1"/>
      <w:marLeft w:val="0"/>
      <w:marRight w:val="0"/>
      <w:marTop w:val="0"/>
      <w:marBottom w:val="0"/>
      <w:divBdr>
        <w:top w:val="none" w:sz="0" w:space="0" w:color="auto"/>
        <w:left w:val="none" w:sz="0" w:space="0" w:color="auto"/>
        <w:bottom w:val="none" w:sz="0" w:space="0" w:color="auto"/>
        <w:right w:val="none" w:sz="0" w:space="0" w:color="auto"/>
      </w:divBdr>
    </w:div>
    <w:div w:id="1180192875">
      <w:bodyDiv w:val="1"/>
      <w:marLeft w:val="0"/>
      <w:marRight w:val="0"/>
      <w:marTop w:val="0"/>
      <w:marBottom w:val="0"/>
      <w:divBdr>
        <w:top w:val="none" w:sz="0" w:space="0" w:color="auto"/>
        <w:left w:val="none" w:sz="0" w:space="0" w:color="auto"/>
        <w:bottom w:val="none" w:sz="0" w:space="0" w:color="auto"/>
        <w:right w:val="none" w:sz="0" w:space="0" w:color="auto"/>
      </w:divBdr>
    </w:div>
    <w:div w:id="1181236848">
      <w:bodyDiv w:val="1"/>
      <w:marLeft w:val="0"/>
      <w:marRight w:val="0"/>
      <w:marTop w:val="0"/>
      <w:marBottom w:val="0"/>
      <w:divBdr>
        <w:top w:val="none" w:sz="0" w:space="0" w:color="auto"/>
        <w:left w:val="none" w:sz="0" w:space="0" w:color="auto"/>
        <w:bottom w:val="none" w:sz="0" w:space="0" w:color="auto"/>
        <w:right w:val="none" w:sz="0" w:space="0" w:color="auto"/>
      </w:divBdr>
    </w:div>
    <w:div w:id="1190529417">
      <w:bodyDiv w:val="1"/>
      <w:marLeft w:val="0"/>
      <w:marRight w:val="0"/>
      <w:marTop w:val="0"/>
      <w:marBottom w:val="0"/>
      <w:divBdr>
        <w:top w:val="none" w:sz="0" w:space="0" w:color="auto"/>
        <w:left w:val="none" w:sz="0" w:space="0" w:color="auto"/>
        <w:bottom w:val="none" w:sz="0" w:space="0" w:color="auto"/>
        <w:right w:val="none" w:sz="0" w:space="0" w:color="auto"/>
      </w:divBdr>
    </w:div>
    <w:div w:id="1214544009">
      <w:bodyDiv w:val="1"/>
      <w:marLeft w:val="0"/>
      <w:marRight w:val="0"/>
      <w:marTop w:val="0"/>
      <w:marBottom w:val="0"/>
      <w:divBdr>
        <w:top w:val="none" w:sz="0" w:space="0" w:color="auto"/>
        <w:left w:val="none" w:sz="0" w:space="0" w:color="auto"/>
        <w:bottom w:val="none" w:sz="0" w:space="0" w:color="auto"/>
        <w:right w:val="none" w:sz="0" w:space="0" w:color="auto"/>
      </w:divBdr>
      <w:divsChild>
        <w:div w:id="626089732">
          <w:marLeft w:val="0"/>
          <w:marRight w:val="0"/>
          <w:marTop w:val="0"/>
          <w:marBottom w:val="0"/>
          <w:divBdr>
            <w:top w:val="none" w:sz="0" w:space="0" w:color="auto"/>
            <w:left w:val="none" w:sz="0" w:space="0" w:color="auto"/>
            <w:bottom w:val="none" w:sz="0" w:space="0" w:color="auto"/>
            <w:right w:val="none" w:sz="0" w:space="0" w:color="auto"/>
          </w:divBdr>
          <w:divsChild>
            <w:div w:id="677268463">
              <w:marLeft w:val="0"/>
              <w:marRight w:val="0"/>
              <w:marTop w:val="111"/>
              <w:marBottom w:val="0"/>
              <w:divBdr>
                <w:top w:val="none" w:sz="0" w:space="0" w:color="auto"/>
                <w:left w:val="none" w:sz="0" w:space="0" w:color="auto"/>
                <w:bottom w:val="none" w:sz="0" w:space="0" w:color="auto"/>
                <w:right w:val="none" w:sz="0" w:space="0" w:color="auto"/>
              </w:divBdr>
              <w:divsChild>
                <w:div w:id="427965045">
                  <w:marLeft w:val="0"/>
                  <w:marRight w:val="0"/>
                  <w:marTop w:val="0"/>
                  <w:marBottom w:val="0"/>
                  <w:divBdr>
                    <w:top w:val="none" w:sz="0" w:space="0" w:color="auto"/>
                    <w:left w:val="none" w:sz="0" w:space="0" w:color="auto"/>
                    <w:bottom w:val="none" w:sz="0" w:space="0" w:color="auto"/>
                    <w:right w:val="none" w:sz="0" w:space="0" w:color="auto"/>
                  </w:divBdr>
                  <w:divsChild>
                    <w:div w:id="991255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4680958">
      <w:bodyDiv w:val="1"/>
      <w:marLeft w:val="0"/>
      <w:marRight w:val="0"/>
      <w:marTop w:val="0"/>
      <w:marBottom w:val="0"/>
      <w:divBdr>
        <w:top w:val="none" w:sz="0" w:space="0" w:color="auto"/>
        <w:left w:val="none" w:sz="0" w:space="0" w:color="auto"/>
        <w:bottom w:val="none" w:sz="0" w:space="0" w:color="auto"/>
        <w:right w:val="none" w:sz="0" w:space="0" w:color="auto"/>
      </w:divBdr>
    </w:div>
    <w:div w:id="1340041563">
      <w:bodyDiv w:val="1"/>
      <w:marLeft w:val="0"/>
      <w:marRight w:val="0"/>
      <w:marTop w:val="0"/>
      <w:marBottom w:val="0"/>
      <w:divBdr>
        <w:top w:val="none" w:sz="0" w:space="0" w:color="auto"/>
        <w:left w:val="none" w:sz="0" w:space="0" w:color="auto"/>
        <w:bottom w:val="none" w:sz="0" w:space="0" w:color="auto"/>
        <w:right w:val="none" w:sz="0" w:space="0" w:color="auto"/>
      </w:divBdr>
    </w:div>
    <w:div w:id="1457022553">
      <w:bodyDiv w:val="1"/>
      <w:marLeft w:val="0"/>
      <w:marRight w:val="0"/>
      <w:marTop w:val="0"/>
      <w:marBottom w:val="0"/>
      <w:divBdr>
        <w:top w:val="none" w:sz="0" w:space="0" w:color="auto"/>
        <w:left w:val="none" w:sz="0" w:space="0" w:color="auto"/>
        <w:bottom w:val="none" w:sz="0" w:space="0" w:color="auto"/>
        <w:right w:val="none" w:sz="0" w:space="0" w:color="auto"/>
      </w:divBdr>
    </w:div>
    <w:div w:id="1491169871">
      <w:bodyDiv w:val="1"/>
      <w:marLeft w:val="0"/>
      <w:marRight w:val="0"/>
      <w:marTop w:val="0"/>
      <w:marBottom w:val="0"/>
      <w:divBdr>
        <w:top w:val="none" w:sz="0" w:space="0" w:color="auto"/>
        <w:left w:val="none" w:sz="0" w:space="0" w:color="auto"/>
        <w:bottom w:val="none" w:sz="0" w:space="0" w:color="auto"/>
        <w:right w:val="none" w:sz="0" w:space="0" w:color="auto"/>
      </w:divBdr>
    </w:div>
    <w:div w:id="1507285685">
      <w:bodyDiv w:val="1"/>
      <w:marLeft w:val="0"/>
      <w:marRight w:val="0"/>
      <w:marTop w:val="0"/>
      <w:marBottom w:val="0"/>
      <w:divBdr>
        <w:top w:val="none" w:sz="0" w:space="0" w:color="auto"/>
        <w:left w:val="none" w:sz="0" w:space="0" w:color="auto"/>
        <w:bottom w:val="none" w:sz="0" w:space="0" w:color="auto"/>
        <w:right w:val="none" w:sz="0" w:space="0" w:color="auto"/>
      </w:divBdr>
    </w:div>
    <w:div w:id="1574046954">
      <w:bodyDiv w:val="1"/>
      <w:marLeft w:val="0"/>
      <w:marRight w:val="0"/>
      <w:marTop w:val="0"/>
      <w:marBottom w:val="0"/>
      <w:divBdr>
        <w:top w:val="none" w:sz="0" w:space="0" w:color="auto"/>
        <w:left w:val="none" w:sz="0" w:space="0" w:color="auto"/>
        <w:bottom w:val="none" w:sz="0" w:space="0" w:color="auto"/>
        <w:right w:val="none" w:sz="0" w:space="0" w:color="auto"/>
      </w:divBdr>
      <w:divsChild>
        <w:div w:id="2006320751">
          <w:marLeft w:val="0"/>
          <w:marRight w:val="0"/>
          <w:marTop w:val="0"/>
          <w:marBottom w:val="0"/>
          <w:divBdr>
            <w:top w:val="none" w:sz="0" w:space="0" w:color="auto"/>
            <w:left w:val="none" w:sz="0" w:space="0" w:color="auto"/>
            <w:bottom w:val="none" w:sz="0" w:space="0" w:color="auto"/>
            <w:right w:val="none" w:sz="0" w:space="0" w:color="auto"/>
          </w:divBdr>
          <w:divsChild>
            <w:div w:id="1317028391">
              <w:marLeft w:val="2292"/>
              <w:marRight w:val="0"/>
              <w:marTop w:val="0"/>
              <w:marBottom w:val="0"/>
              <w:divBdr>
                <w:top w:val="none" w:sz="0" w:space="0" w:color="auto"/>
                <w:left w:val="none" w:sz="0" w:space="0" w:color="auto"/>
                <w:bottom w:val="none" w:sz="0" w:space="0" w:color="auto"/>
                <w:right w:val="none" w:sz="0" w:space="0" w:color="auto"/>
              </w:divBdr>
              <w:divsChild>
                <w:div w:id="2010212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4409668">
      <w:bodyDiv w:val="1"/>
      <w:marLeft w:val="0"/>
      <w:marRight w:val="0"/>
      <w:marTop w:val="0"/>
      <w:marBottom w:val="0"/>
      <w:divBdr>
        <w:top w:val="none" w:sz="0" w:space="0" w:color="auto"/>
        <w:left w:val="none" w:sz="0" w:space="0" w:color="auto"/>
        <w:bottom w:val="none" w:sz="0" w:space="0" w:color="auto"/>
        <w:right w:val="none" w:sz="0" w:space="0" w:color="auto"/>
      </w:divBdr>
    </w:div>
    <w:div w:id="1592163138">
      <w:bodyDiv w:val="1"/>
      <w:marLeft w:val="0"/>
      <w:marRight w:val="0"/>
      <w:marTop w:val="21"/>
      <w:marBottom w:val="537"/>
      <w:divBdr>
        <w:top w:val="none" w:sz="0" w:space="0" w:color="auto"/>
        <w:left w:val="none" w:sz="0" w:space="0" w:color="auto"/>
        <w:bottom w:val="none" w:sz="0" w:space="0" w:color="auto"/>
        <w:right w:val="none" w:sz="0" w:space="0" w:color="auto"/>
      </w:divBdr>
      <w:divsChild>
        <w:div w:id="1804612884">
          <w:marLeft w:val="0"/>
          <w:marRight w:val="0"/>
          <w:marTop w:val="0"/>
          <w:marBottom w:val="0"/>
          <w:divBdr>
            <w:top w:val="none" w:sz="0" w:space="0" w:color="auto"/>
            <w:left w:val="none" w:sz="0" w:space="0" w:color="auto"/>
            <w:bottom w:val="none" w:sz="0" w:space="0" w:color="auto"/>
            <w:right w:val="none" w:sz="0" w:space="0" w:color="auto"/>
          </w:divBdr>
        </w:div>
      </w:divsChild>
    </w:div>
    <w:div w:id="1598174565">
      <w:bodyDiv w:val="1"/>
      <w:marLeft w:val="0"/>
      <w:marRight w:val="5"/>
      <w:marTop w:val="0"/>
      <w:marBottom w:val="369"/>
      <w:divBdr>
        <w:top w:val="none" w:sz="0" w:space="0" w:color="auto"/>
        <w:left w:val="none" w:sz="0" w:space="0" w:color="auto"/>
        <w:bottom w:val="none" w:sz="0" w:space="0" w:color="auto"/>
        <w:right w:val="none" w:sz="0" w:space="0" w:color="auto"/>
      </w:divBdr>
      <w:divsChild>
        <w:div w:id="1722557351">
          <w:marLeft w:val="1394"/>
          <w:marRight w:val="0"/>
          <w:marTop w:val="277"/>
          <w:marBottom w:val="185"/>
          <w:divBdr>
            <w:top w:val="none" w:sz="0" w:space="0" w:color="auto"/>
            <w:left w:val="none" w:sz="0" w:space="0" w:color="auto"/>
            <w:bottom w:val="none" w:sz="0" w:space="0" w:color="auto"/>
            <w:right w:val="none" w:sz="0" w:space="0" w:color="auto"/>
          </w:divBdr>
        </w:div>
      </w:divsChild>
    </w:div>
    <w:div w:id="1645816979">
      <w:bodyDiv w:val="1"/>
      <w:marLeft w:val="0"/>
      <w:marRight w:val="0"/>
      <w:marTop w:val="0"/>
      <w:marBottom w:val="0"/>
      <w:divBdr>
        <w:top w:val="none" w:sz="0" w:space="0" w:color="auto"/>
        <w:left w:val="none" w:sz="0" w:space="0" w:color="auto"/>
        <w:bottom w:val="none" w:sz="0" w:space="0" w:color="auto"/>
        <w:right w:val="none" w:sz="0" w:space="0" w:color="auto"/>
      </w:divBdr>
      <w:divsChild>
        <w:div w:id="516162259">
          <w:marLeft w:val="0"/>
          <w:marRight w:val="0"/>
          <w:marTop w:val="0"/>
          <w:marBottom w:val="0"/>
          <w:divBdr>
            <w:top w:val="none" w:sz="0" w:space="0" w:color="auto"/>
            <w:left w:val="none" w:sz="0" w:space="0" w:color="auto"/>
            <w:bottom w:val="none" w:sz="0" w:space="0" w:color="auto"/>
            <w:right w:val="none" w:sz="0" w:space="0" w:color="auto"/>
          </w:divBdr>
          <w:divsChild>
            <w:div w:id="1242912758">
              <w:marLeft w:val="0"/>
              <w:marRight w:val="0"/>
              <w:marTop w:val="0"/>
              <w:marBottom w:val="0"/>
              <w:divBdr>
                <w:top w:val="none" w:sz="0" w:space="0" w:color="auto"/>
                <w:left w:val="none" w:sz="0" w:space="0" w:color="auto"/>
                <w:bottom w:val="none" w:sz="0" w:space="0" w:color="auto"/>
                <w:right w:val="none" w:sz="0" w:space="0" w:color="auto"/>
              </w:divBdr>
              <w:divsChild>
                <w:div w:id="995766000">
                  <w:marLeft w:val="55"/>
                  <w:marRight w:val="46"/>
                  <w:marTop w:val="0"/>
                  <w:marBottom w:val="46"/>
                  <w:divBdr>
                    <w:top w:val="none" w:sz="0" w:space="0" w:color="auto"/>
                    <w:left w:val="single" w:sz="4" w:space="2" w:color="CCCCCC"/>
                    <w:bottom w:val="single" w:sz="4" w:space="2" w:color="CCCCCC"/>
                    <w:right w:val="single" w:sz="4" w:space="2" w:color="CCCCCC"/>
                  </w:divBdr>
                </w:div>
              </w:divsChild>
            </w:div>
          </w:divsChild>
        </w:div>
      </w:divsChild>
    </w:div>
    <w:div w:id="1647541245">
      <w:bodyDiv w:val="1"/>
      <w:marLeft w:val="0"/>
      <w:marRight w:val="0"/>
      <w:marTop w:val="21"/>
      <w:marBottom w:val="537"/>
      <w:divBdr>
        <w:top w:val="none" w:sz="0" w:space="0" w:color="auto"/>
        <w:left w:val="none" w:sz="0" w:space="0" w:color="auto"/>
        <w:bottom w:val="none" w:sz="0" w:space="0" w:color="auto"/>
        <w:right w:val="none" w:sz="0" w:space="0" w:color="auto"/>
      </w:divBdr>
      <w:divsChild>
        <w:div w:id="221446477">
          <w:marLeft w:val="0"/>
          <w:marRight w:val="0"/>
          <w:marTop w:val="0"/>
          <w:marBottom w:val="0"/>
          <w:divBdr>
            <w:top w:val="none" w:sz="0" w:space="0" w:color="auto"/>
            <w:left w:val="none" w:sz="0" w:space="0" w:color="auto"/>
            <w:bottom w:val="none" w:sz="0" w:space="0" w:color="auto"/>
            <w:right w:val="none" w:sz="0" w:space="0" w:color="auto"/>
          </w:divBdr>
        </w:div>
      </w:divsChild>
    </w:div>
    <w:div w:id="1662615030">
      <w:bodyDiv w:val="1"/>
      <w:marLeft w:val="0"/>
      <w:marRight w:val="0"/>
      <w:marTop w:val="0"/>
      <w:marBottom w:val="0"/>
      <w:divBdr>
        <w:top w:val="none" w:sz="0" w:space="0" w:color="auto"/>
        <w:left w:val="none" w:sz="0" w:space="0" w:color="auto"/>
        <w:bottom w:val="none" w:sz="0" w:space="0" w:color="auto"/>
        <w:right w:val="none" w:sz="0" w:space="0" w:color="auto"/>
      </w:divBdr>
    </w:div>
    <w:div w:id="1689869300">
      <w:bodyDiv w:val="1"/>
      <w:marLeft w:val="0"/>
      <w:marRight w:val="0"/>
      <w:marTop w:val="0"/>
      <w:marBottom w:val="0"/>
      <w:divBdr>
        <w:top w:val="none" w:sz="0" w:space="0" w:color="auto"/>
        <w:left w:val="none" w:sz="0" w:space="0" w:color="auto"/>
        <w:bottom w:val="none" w:sz="0" w:space="0" w:color="auto"/>
        <w:right w:val="none" w:sz="0" w:space="0" w:color="auto"/>
      </w:divBdr>
    </w:div>
    <w:div w:id="1730374148">
      <w:bodyDiv w:val="1"/>
      <w:marLeft w:val="0"/>
      <w:marRight w:val="0"/>
      <w:marTop w:val="0"/>
      <w:marBottom w:val="0"/>
      <w:divBdr>
        <w:top w:val="none" w:sz="0" w:space="0" w:color="auto"/>
        <w:left w:val="none" w:sz="0" w:space="0" w:color="auto"/>
        <w:bottom w:val="none" w:sz="0" w:space="0" w:color="auto"/>
        <w:right w:val="none" w:sz="0" w:space="0" w:color="auto"/>
      </w:divBdr>
    </w:div>
    <w:div w:id="1749308691">
      <w:bodyDiv w:val="1"/>
      <w:marLeft w:val="0"/>
      <w:marRight w:val="0"/>
      <w:marTop w:val="0"/>
      <w:marBottom w:val="0"/>
      <w:divBdr>
        <w:top w:val="none" w:sz="0" w:space="0" w:color="auto"/>
        <w:left w:val="none" w:sz="0" w:space="0" w:color="auto"/>
        <w:bottom w:val="none" w:sz="0" w:space="0" w:color="auto"/>
        <w:right w:val="none" w:sz="0" w:space="0" w:color="auto"/>
      </w:divBdr>
      <w:divsChild>
        <w:div w:id="1906060921">
          <w:marLeft w:val="0"/>
          <w:marRight w:val="0"/>
          <w:marTop w:val="0"/>
          <w:marBottom w:val="0"/>
          <w:divBdr>
            <w:top w:val="none" w:sz="0" w:space="0" w:color="auto"/>
            <w:left w:val="none" w:sz="0" w:space="0" w:color="auto"/>
            <w:bottom w:val="none" w:sz="0" w:space="0" w:color="auto"/>
            <w:right w:val="none" w:sz="0" w:space="0" w:color="auto"/>
          </w:divBdr>
          <w:divsChild>
            <w:div w:id="1198859716">
              <w:marLeft w:val="0"/>
              <w:marRight w:val="0"/>
              <w:marTop w:val="111"/>
              <w:marBottom w:val="0"/>
              <w:divBdr>
                <w:top w:val="none" w:sz="0" w:space="0" w:color="auto"/>
                <w:left w:val="none" w:sz="0" w:space="0" w:color="auto"/>
                <w:bottom w:val="none" w:sz="0" w:space="0" w:color="auto"/>
                <w:right w:val="none" w:sz="0" w:space="0" w:color="auto"/>
              </w:divBdr>
              <w:divsChild>
                <w:div w:id="1277565886">
                  <w:marLeft w:val="0"/>
                  <w:marRight w:val="0"/>
                  <w:marTop w:val="0"/>
                  <w:marBottom w:val="0"/>
                  <w:divBdr>
                    <w:top w:val="none" w:sz="0" w:space="0" w:color="auto"/>
                    <w:left w:val="none" w:sz="0" w:space="0" w:color="auto"/>
                    <w:bottom w:val="none" w:sz="0" w:space="0" w:color="auto"/>
                    <w:right w:val="none" w:sz="0" w:space="0" w:color="auto"/>
                  </w:divBdr>
                  <w:divsChild>
                    <w:div w:id="1905288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683913">
      <w:bodyDiv w:val="1"/>
      <w:marLeft w:val="0"/>
      <w:marRight w:val="0"/>
      <w:marTop w:val="0"/>
      <w:marBottom w:val="0"/>
      <w:divBdr>
        <w:top w:val="none" w:sz="0" w:space="0" w:color="auto"/>
        <w:left w:val="none" w:sz="0" w:space="0" w:color="auto"/>
        <w:bottom w:val="none" w:sz="0" w:space="0" w:color="auto"/>
        <w:right w:val="none" w:sz="0" w:space="0" w:color="auto"/>
      </w:divBdr>
    </w:div>
    <w:div w:id="1776516020">
      <w:bodyDiv w:val="1"/>
      <w:marLeft w:val="0"/>
      <w:marRight w:val="0"/>
      <w:marTop w:val="0"/>
      <w:marBottom w:val="0"/>
      <w:divBdr>
        <w:top w:val="none" w:sz="0" w:space="0" w:color="auto"/>
        <w:left w:val="none" w:sz="0" w:space="0" w:color="auto"/>
        <w:bottom w:val="none" w:sz="0" w:space="0" w:color="auto"/>
        <w:right w:val="none" w:sz="0" w:space="0" w:color="auto"/>
      </w:divBdr>
    </w:div>
    <w:div w:id="1824003446">
      <w:bodyDiv w:val="1"/>
      <w:marLeft w:val="0"/>
      <w:marRight w:val="0"/>
      <w:marTop w:val="21"/>
      <w:marBottom w:val="537"/>
      <w:divBdr>
        <w:top w:val="none" w:sz="0" w:space="0" w:color="auto"/>
        <w:left w:val="none" w:sz="0" w:space="0" w:color="auto"/>
        <w:bottom w:val="none" w:sz="0" w:space="0" w:color="auto"/>
        <w:right w:val="none" w:sz="0" w:space="0" w:color="auto"/>
      </w:divBdr>
      <w:divsChild>
        <w:div w:id="1653830617">
          <w:marLeft w:val="0"/>
          <w:marRight w:val="0"/>
          <w:marTop w:val="0"/>
          <w:marBottom w:val="0"/>
          <w:divBdr>
            <w:top w:val="none" w:sz="0" w:space="0" w:color="auto"/>
            <w:left w:val="none" w:sz="0" w:space="0" w:color="auto"/>
            <w:bottom w:val="none" w:sz="0" w:space="0" w:color="auto"/>
            <w:right w:val="none" w:sz="0" w:space="0" w:color="auto"/>
          </w:divBdr>
        </w:div>
      </w:divsChild>
    </w:div>
    <w:div w:id="1857502093">
      <w:bodyDiv w:val="1"/>
      <w:marLeft w:val="0"/>
      <w:marRight w:val="0"/>
      <w:marTop w:val="0"/>
      <w:marBottom w:val="0"/>
      <w:divBdr>
        <w:top w:val="none" w:sz="0" w:space="0" w:color="auto"/>
        <w:left w:val="none" w:sz="0" w:space="0" w:color="auto"/>
        <w:bottom w:val="none" w:sz="0" w:space="0" w:color="auto"/>
        <w:right w:val="none" w:sz="0" w:space="0" w:color="auto"/>
      </w:divBdr>
    </w:div>
    <w:div w:id="1858159107">
      <w:bodyDiv w:val="1"/>
      <w:marLeft w:val="0"/>
      <w:marRight w:val="0"/>
      <w:marTop w:val="0"/>
      <w:marBottom w:val="0"/>
      <w:divBdr>
        <w:top w:val="none" w:sz="0" w:space="0" w:color="auto"/>
        <w:left w:val="none" w:sz="0" w:space="0" w:color="auto"/>
        <w:bottom w:val="none" w:sz="0" w:space="0" w:color="auto"/>
        <w:right w:val="none" w:sz="0" w:space="0" w:color="auto"/>
      </w:divBdr>
    </w:div>
    <w:div w:id="2032603655">
      <w:bodyDiv w:val="1"/>
      <w:marLeft w:val="0"/>
      <w:marRight w:val="0"/>
      <w:marTop w:val="0"/>
      <w:marBottom w:val="0"/>
      <w:divBdr>
        <w:top w:val="none" w:sz="0" w:space="0" w:color="auto"/>
        <w:left w:val="none" w:sz="0" w:space="0" w:color="auto"/>
        <w:bottom w:val="none" w:sz="0" w:space="0" w:color="auto"/>
        <w:right w:val="none" w:sz="0" w:space="0" w:color="auto"/>
      </w:divBdr>
    </w:div>
    <w:div w:id="2041199456">
      <w:bodyDiv w:val="1"/>
      <w:marLeft w:val="0"/>
      <w:marRight w:val="0"/>
      <w:marTop w:val="0"/>
      <w:marBottom w:val="0"/>
      <w:divBdr>
        <w:top w:val="none" w:sz="0" w:space="0" w:color="auto"/>
        <w:left w:val="none" w:sz="0" w:space="0" w:color="auto"/>
        <w:bottom w:val="none" w:sz="0" w:space="0" w:color="auto"/>
        <w:right w:val="none" w:sz="0" w:space="0" w:color="auto"/>
      </w:divBdr>
    </w:div>
    <w:div w:id="2111662506">
      <w:bodyDiv w:val="1"/>
      <w:marLeft w:val="0"/>
      <w:marRight w:val="0"/>
      <w:marTop w:val="21"/>
      <w:marBottom w:val="537"/>
      <w:divBdr>
        <w:top w:val="none" w:sz="0" w:space="0" w:color="auto"/>
        <w:left w:val="none" w:sz="0" w:space="0" w:color="auto"/>
        <w:bottom w:val="none" w:sz="0" w:space="0" w:color="auto"/>
        <w:right w:val="none" w:sz="0" w:space="0" w:color="auto"/>
      </w:divBdr>
      <w:divsChild>
        <w:div w:id="1463427274">
          <w:marLeft w:val="0"/>
          <w:marRight w:val="0"/>
          <w:marTop w:val="0"/>
          <w:marBottom w:val="0"/>
          <w:divBdr>
            <w:top w:val="none" w:sz="0" w:space="0" w:color="auto"/>
            <w:left w:val="none" w:sz="0" w:space="0" w:color="auto"/>
            <w:bottom w:val="none" w:sz="0" w:space="0" w:color="auto"/>
            <w:right w:val="none" w:sz="0" w:space="0" w:color="auto"/>
          </w:divBdr>
        </w:div>
      </w:divsChild>
    </w:div>
    <w:div w:id="2132747479">
      <w:bodyDiv w:val="1"/>
      <w:marLeft w:val="0"/>
      <w:marRight w:val="0"/>
      <w:marTop w:val="0"/>
      <w:marBottom w:val="0"/>
      <w:divBdr>
        <w:top w:val="none" w:sz="0" w:space="0" w:color="auto"/>
        <w:left w:val="none" w:sz="0" w:space="0" w:color="auto"/>
        <w:bottom w:val="none" w:sz="0" w:space="0" w:color="auto"/>
        <w:right w:val="none" w:sz="0" w:space="0" w:color="auto"/>
      </w:divBdr>
    </w:div>
    <w:div w:id="2147042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arm-permit2k.dep.state.fl.us/psd/0570261/00000934.pdf" TargetMode="External"/><Relationship Id="rId18" Type="http://schemas.openxmlformats.org/officeDocument/2006/relationships/hyperlink" Target="http://arm-permit2k.dep.state.fl.us/psd/0570261/00001A03.pdf" TargetMode="External"/><Relationship Id="rId26" Type="http://schemas.openxmlformats.org/officeDocument/2006/relationships/hyperlink" Target="http://www.dep.state.fl.us/air/rules/fac/62-296.pdf" TargetMode="External"/><Relationship Id="rId39" Type="http://schemas.openxmlformats.org/officeDocument/2006/relationships/hyperlink" Target="http://www.epa.gov/ttn/atw/129/ssi/2011/20110221ssifs.pdf" TargetMode="External"/><Relationship Id="rId3" Type="http://schemas.openxmlformats.org/officeDocument/2006/relationships/styles" Target="styles.xml"/><Relationship Id="rId21" Type="http://schemas.openxmlformats.org/officeDocument/2006/relationships/hyperlink" Target="http://www.dep.state.fl.us/siting/files/rules_statutes/pps_rule.pdf" TargetMode="External"/><Relationship Id="rId34" Type="http://schemas.openxmlformats.org/officeDocument/2006/relationships/image" Target="media/image8.wmf"/><Relationship Id="rId42" Type="http://schemas.openxmlformats.org/officeDocument/2006/relationships/hyperlink" Target="http://www.ecfr.gov/cgi-bin/text-idx?c=ecfr&amp;SID=03e36a009855c821825dc5e55fbe9998&amp;rgn=div6&amp;view=text&amp;node=40:9.0.1.1.1.5&amp;idno=40" TargetMode="External"/><Relationship Id="rId47" Type="http://schemas.openxmlformats.org/officeDocument/2006/relationships/footer" Target="footer1.xm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ecfr.gpoaccess.gov/cgi/t/text/text-idx?c=ecfr&amp;sid=315438f5afcadc47b52393f86f0639fe&amp;rgn=div6&amp;view=text&amp;node=40:7.0.1.1.1.15&amp;idno=40" TargetMode="External"/><Relationship Id="rId25" Type="http://schemas.openxmlformats.org/officeDocument/2006/relationships/hyperlink" Target="http://www.dep.state.fl.us/air/rules/fac/62-213.pdf" TargetMode="External"/><Relationship Id="rId33" Type="http://schemas.openxmlformats.org/officeDocument/2006/relationships/image" Target="media/image7.wmf"/><Relationship Id="rId38" Type="http://schemas.openxmlformats.org/officeDocument/2006/relationships/hyperlink" Target="http://www.ecfr.gov/cgi-bin/text-idx?c=ecfr&amp;SID=229f93faf4ff3a668ef75c025139ea3e&amp;rgn=div6&amp;view=text&amp;node=40:7.0.1.1.1.100&amp;idno=40" TargetMode="External"/><Relationship Id="rId46"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arm-permit2k.dep.state.fl.us/psd/0570261/00001A03.pdf" TargetMode="External"/><Relationship Id="rId20" Type="http://schemas.openxmlformats.org/officeDocument/2006/relationships/hyperlink" Target="http://www.dep.state.fl.us/air/rules/fac/62-4.pdf" TargetMode="External"/><Relationship Id="rId29" Type="http://schemas.openxmlformats.org/officeDocument/2006/relationships/hyperlink" Target="http://ecfr.gpoaccess.gov/cgi/t/text/text-idx?c=ecfr&amp;sid=f8344c04c8103df4dd003a3b1bd513a1&amp;rgn=div6&amp;view=text&amp;node=40:7.0.1.1.1.5&amp;idno=40" TargetMode="External"/><Relationship Id="rId41" Type="http://schemas.openxmlformats.org/officeDocument/2006/relationships/hyperlink" Target="http://www.dep.state.fl.us/air/rules/regulatory/sewage_sludge_incinerators.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www.dep.state.fl.us/air/rules/fac/62-212.pdf" TargetMode="External"/><Relationship Id="rId32" Type="http://schemas.openxmlformats.org/officeDocument/2006/relationships/hyperlink" Target="http://www.gpo.gov/fdsys/pkg/FR-2011-07-20/pdf/2011-17256.pdf" TargetMode="External"/><Relationship Id="rId37" Type="http://schemas.openxmlformats.org/officeDocument/2006/relationships/hyperlink" Target="http://www.gpo.gov/fdsys/pkg/FR-2011-03-21/pdf/2011-4492.pdf" TargetMode="External"/><Relationship Id="rId40" Type="http://schemas.openxmlformats.org/officeDocument/2006/relationships/hyperlink" Target="http://www.ecfr.gov/cgi-bin/text-idx?c=ecfr&amp;SID=c3e8951034c8c2422ccecb85022666f1&amp;rgn=div6&amp;view=text&amp;node=40:7.0.1.1.1.92&amp;idno=40" TargetMode="External"/><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hyperlink" Target="http://www.dep.state.fl.us/air/rules/fac/62-210.pdf" TargetMode="External"/><Relationship Id="rId28" Type="http://schemas.openxmlformats.org/officeDocument/2006/relationships/hyperlink" Target="http://ecfr.gpoaccess.gov/cgi/t/text/text-idx?c=ecfr&amp;sid=46b8cfa43afe39963d229bf9b12b7e9a&amp;rgn=div6&amp;view=text&amp;node=40:3.0.1.1.1.11&amp;idno=40" TargetMode="External"/><Relationship Id="rId36" Type="http://schemas.openxmlformats.org/officeDocument/2006/relationships/hyperlink" Target="http://www.ecfr.gov/cgi-bin/retrieveECFR?gp=&amp;SID=6b506159489a91a492497eeb6b8bba14&amp;n=40y26.0.1.4.31&amp;r=PART&amp;ty=HTML" TargetMode="External"/><Relationship Id="rId49" Type="http://schemas.openxmlformats.org/officeDocument/2006/relationships/footer" Target="footer2.xml"/><Relationship Id="rId10" Type="http://schemas.openxmlformats.org/officeDocument/2006/relationships/image" Target="media/image3.jpeg"/><Relationship Id="rId19" Type="http://schemas.openxmlformats.org/officeDocument/2006/relationships/hyperlink" Target="http://arm-permit2k.dep.state.fl.us/psd/0570261/000028E6.pdf" TargetMode="External"/><Relationship Id="rId31" Type="http://schemas.openxmlformats.org/officeDocument/2006/relationships/hyperlink" Target="http://ecfr.gpoaccess.gov/cgi/t/text/text-idx?c=ecfr&amp;sid=315438f5afcadc47b52393f86f0639fe&amp;rgn=div8&amp;view=text&amp;node=40:9.0.1.1.2.11.510.6&amp;idno=40" TargetMode="External"/><Relationship Id="rId44" Type="http://schemas.openxmlformats.org/officeDocument/2006/relationships/hyperlink" Target="mailto:yousry.attalla@dep.state.fl.us"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ecfr.gpoaccess.gov/cgi/t/text/text-idx?c=ecfr&amp;sid=f8344c04c8103df4dd003a3b1bd513a1&amp;rgn=div6&amp;view=text&amp;node=40:7.0.1.1.1.5&amp;idno=40" TargetMode="External"/><Relationship Id="rId22" Type="http://schemas.openxmlformats.org/officeDocument/2006/relationships/hyperlink" Target="http://www.dep.state.fl.us/air/rules/fac/62-204.pdf" TargetMode="External"/><Relationship Id="rId27" Type="http://schemas.openxmlformats.org/officeDocument/2006/relationships/hyperlink" Target="http://www.dep.state.fl.us/air/rules/fac/62-297.pdf" TargetMode="External"/><Relationship Id="rId30" Type="http://schemas.openxmlformats.org/officeDocument/2006/relationships/hyperlink" Target="http://ecfr.gpoaccess.gov/cgi/t/text/text-idx?c=ecfr&amp;sid=315438f5afcadc47b52393f86f0639fe&amp;rgn=div6&amp;view=text&amp;node=40:7.0.1.1.1.15&amp;idno=40" TargetMode="External"/><Relationship Id="rId35" Type="http://schemas.openxmlformats.org/officeDocument/2006/relationships/hyperlink" Target="http://www.dep.state.fl.us/legal/rules/wastewater/62-640.pdf" TargetMode="External"/><Relationship Id="rId43" Type="http://schemas.openxmlformats.org/officeDocument/2006/relationships/hyperlink" Target="http://www.ecfr.gov/cgi-bin/text-idx?c=ecfr&amp;SID=170730b75e10ab27dacf381216dd5777&amp;rgn=div5&amp;view=text&amp;node=40:31.0.1.2.42&amp;idno=40" TargetMode="External"/><Relationship Id="rId48" Type="http://schemas.openxmlformats.org/officeDocument/2006/relationships/header" Target="header3.xml"/><Relationship Id="rId8" Type="http://schemas.openxmlformats.org/officeDocument/2006/relationships/image" Target="media/image1.png"/><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E5A830-A474-4D89-9C33-1C6B847BC6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902</TotalTime>
  <Pages>18</Pages>
  <Words>9385</Words>
  <Characters>52786</Characters>
  <Application>Microsoft Office Word</Application>
  <DocSecurity>0</DocSecurity>
  <Lines>439</Lines>
  <Paragraphs>124</Paragraphs>
  <ScaleCrop>false</ScaleCrop>
  <HeadingPairs>
    <vt:vector size="2" baseType="variant">
      <vt:variant>
        <vt:lpstr>Title</vt:lpstr>
      </vt:variant>
      <vt:variant>
        <vt:i4>1</vt:i4>
      </vt:variant>
    </vt:vector>
  </HeadingPairs>
  <TitlesOfParts>
    <vt:vector size="1" baseType="lpstr">
      <vt:lpstr>Technical Evaluation &amp; Preliminary Determination</vt:lpstr>
    </vt:vector>
  </TitlesOfParts>
  <Manager>Trina Vielhauer</Manager>
  <Company>FDEP/DARM/BAR</Company>
  <LinksUpToDate>false</LinksUpToDate>
  <CharactersWithSpaces>62047</CharactersWithSpaces>
  <SharedDoc>false</SharedDoc>
  <HLinks>
    <vt:vector size="96" baseType="variant">
      <vt:variant>
        <vt:i4>4390966</vt:i4>
      </vt:variant>
      <vt:variant>
        <vt:i4>24</vt:i4>
      </vt:variant>
      <vt:variant>
        <vt:i4>0</vt:i4>
      </vt:variant>
      <vt:variant>
        <vt:i4>5</vt:i4>
      </vt:variant>
      <vt:variant>
        <vt:lpwstr>mailto:scott.sheplak@dep.state.fl.us</vt:lpwstr>
      </vt:variant>
      <vt:variant>
        <vt:lpwstr/>
      </vt:variant>
      <vt:variant>
        <vt:i4>1114134</vt:i4>
      </vt:variant>
      <vt:variant>
        <vt:i4>12</vt:i4>
      </vt:variant>
      <vt:variant>
        <vt:i4>0</vt:i4>
      </vt:variant>
      <vt:variant>
        <vt:i4>5</vt:i4>
      </vt:variant>
      <vt:variant>
        <vt:lpwstr>http://www.dep.state.fl.us/legal/rules/wastewater/62-640.pdf</vt:lpwstr>
      </vt:variant>
      <vt:variant>
        <vt:lpwstr/>
      </vt:variant>
      <vt:variant>
        <vt:i4>4784219</vt:i4>
      </vt:variant>
      <vt:variant>
        <vt:i4>6</vt:i4>
      </vt:variant>
      <vt:variant>
        <vt:i4>0</vt:i4>
      </vt:variant>
      <vt:variant>
        <vt:i4>5</vt:i4>
      </vt:variant>
      <vt:variant>
        <vt:lpwstr>http://appprod.dep.state.fl.us/air/emission/apds/default.asp</vt:lpwstr>
      </vt:variant>
      <vt:variant>
        <vt:lpwstr/>
      </vt:variant>
      <vt:variant>
        <vt:i4>2097236</vt:i4>
      </vt:variant>
      <vt:variant>
        <vt:i4>33</vt:i4>
      </vt:variant>
      <vt:variant>
        <vt:i4>0</vt:i4>
      </vt:variant>
      <vt:variant>
        <vt:i4>5</vt:i4>
      </vt:variant>
      <vt:variant>
        <vt:lpwstr>http://www.epa.gov/epawaste/nonhaz/define/faq-final.htm</vt:lpwstr>
      </vt:variant>
      <vt:variant>
        <vt:lpwstr>7</vt:lpwstr>
      </vt:variant>
      <vt:variant>
        <vt:i4>6815866</vt:i4>
      </vt:variant>
      <vt:variant>
        <vt:i4>30</vt:i4>
      </vt:variant>
      <vt:variant>
        <vt:i4>0</vt:i4>
      </vt:variant>
      <vt:variant>
        <vt:i4>5</vt:i4>
      </vt:variant>
      <vt:variant>
        <vt:lpwstr>http://www.epa.gov/osw/nonhaz/municipal/pubs/msw07-rpt.pdf</vt:lpwstr>
      </vt:variant>
      <vt:variant>
        <vt:lpwstr/>
      </vt:variant>
      <vt:variant>
        <vt:i4>7798819</vt:i4>
      </vt:variant>
      <vt:variant>
        <vt:i4>27</vt:i4>
      </vt:variant>
      <vt:variant>
        <vt:i4>0</vt:i4>
      </vt:variant>
      <vt:variant>
        <vt:i4>5</vt:i4>
      </vt:variant>
      <vt:variant>
        <vt:lpwstr>http://www.regulations.gov/</vt:lpwstr>
      </vt:variant>
      <vt:variant>
        <vt:lpwstr>!documentDetail;D=EPA-HQ-RCRA-2008-0329-0243</vt:lpwstr>
      </vt:variant>
      <vt:variant>
        <vt:i4>7798819</vt:i4>
      </vt:variant>
      <vt:variant>
        <vt:i4>24</vt:i4>
      </vt:variant>
      <vt:variant>
        <vt:i4>0</vt:i4>
      </vt:variant>
      <vt:variant>
        <vt:i4>5</vt:i4>
      </vt:variant>
      <vt:variant>
        <vt:lpwstr>http://www.regulations.gov/</vt:lpwstr>
      </vt:variant>
      <vt:variant>
        <vt:lpwstr>!documentDetail;D=EPA-HQ-RCRA-2008-0329-0243</vt:lpwstr>
      </vt:variant>
      <vt:variant>
        <vt:i4>5636104</vt:i4>
      </vt:variant>
      <vt:variant>
        <vt:i4>21</vt:i4>
      </vt:variant>
      <vt:variant>
        <vt:i4>0</vt:i4>
      </vt:variant>
      <vt:variant>
        <vt:i4>5</vt:i4>
      </vt:variant>
      <vt:variant>
        <vt:lpwstr>http://edocket.access.gpo.gov/2011/pdf/2011-4492.pdf</vt:lpwstr>
      </vt:variant>
      <vt:variant>
        <vt:lpwstr/>
      </vt:variant>
      <vt:variant>
        <vt:i4>2555951</vt:i4>
      </vt:variant>
      <vt:variant>
        <vt:i4>18</vt:i4>
      </vt:variant>
      <vt:variant>
        <vt:i4>0</vt:i4>
      </vt:variant>
      <vt:variant>
        <vt:i4>5</vt:i4>
      </vt:variant>
      <vt:variant>
        <vt:lpwstr>http://www.epa.gov/ttn/chief/ap42/ch02/final/c02s02.pdf</vt:lpwstr>
      </vt:variant>
      <vt:variant>
        <vt:lpwstr/>
      </vt:variant>
      <vt:variant>
        <vt:i4>3276838</vt:i4>
      </vt:variant>
      <vt:variant>
        <vt:i4>15</vt:i4>
      </vt:variant>
      <vt:variant>
        <vt:i4>0</vt:i4>
      </vt:variant>
      <vt:variant>
        <vt:i4>5</vt:i4>
      </vt:variant>
      <vt:variant>
        <vt:lpwstr>http://www.dep.state.fl.us/water/wastewater/dom/reshome.htm</vt:lpwstr>
      </vt:variant>
      <vt:variant>
        <vt:lpwstr/>
      </vt:variant>
      <vt:variant>
        <vt:i4>4194316</vt:i4>
      </vt:variant>
      <vt:variant>
        <vt:i4>12</vt:i4>
      </vt:variant>
      <vt:variant>
        <vt:i4>0</vt:i4>
      </vt:variant>
      <vt:variant>
        <vt:i4>5</vt:i4>
      </vt:variant>
      <vt:variant>
        <vt:lpwstr>http://www.kitsapsun.com/news/2011/mar/26/risks-over-recycling-sewage-are-still-not/</vt:lpwstr>
      </vt:variant>
      <vt:variant>
        <vt:lpwstr/>
      </vt:variant>
      <vt:variant>
        <vt:i4>6553661</vt:i4>
      </vt:variant>
      <vt:variant>
        <vt:i4>9</vt:i4>
      </vt:variant>
      <vt:variant>
        <vt:i4>0</vt:i4>
      </vt:variant>
      <vt:variant>
        <vt:i4>5</vt:i4>
      </vt:variant>
      <vt:variant>
        <vt:lpwstr>http://www.fal.com/solid-waste-management.html</vt:lpwstr>
      </vt:variant>
      <vt:variant>
        <vt:lpwstr/>
      </vt:variant>
      <vt:variant>
        <vt:i4>7995448</vt:i4>
      </vt:variant>
      <vt:variant>
        <vt:i4>6</vt:i4>
      </vt:variant>
      <vt:variant>
        <vt:i4>0</vt:i4>
      </vt:variant>
      <vt:variant>
        <vt:i4>5</vt:i4>
      </vt:variant>
      <vt:variant>
        <vt:lpwstr>http://water.epa.gov/polwaste/wastewater/treatment/biosolids/index.cfm</vt:lpwstr>
      </vt:variant>
      <vt:variant>
        <vt:lpwstr/>
      </vt:variant>
      <vt:variant>
        <vt:i4>6750247</vt:i4>
      </vt:variant>
      <vt:variant>
        <vt:i4>3</vt:i4>
      </vt:variant>
      <vt:variant>
        <vt:i4>0</vt:i4>
      </vt:variant>
      <vt:variant>
        <vt:i4>5</vt:i4>
      </vt:variant>
      <vt:variant>
        <vt:lpwstr>http://en.wikipedia.org/wiki/Biosolids</vt:lpwstr>
      </vt:variant>
      <vt:variant>
        <vt:lpwstr/>
      </vt:variant>
      <vt:variant>
        <vt:i4>6750247</vt:i4>
      </vt:variant>
      <vt:variant>
        <vt:i4>0</vt:i4>
      </vt:variant>
      <vt:variant>
        <vt:i4>0</vt:i4>
      </vt:variant>
      <vt:variant>
        <vt:i4>5</vt:i4>
      </vt:variant>
      <vt:variant>
        <vt:lpwstr>http://en.wikipedia.org/wiki/Biosolids</vt:lpwstr>
      </vt:variant>
      <vt:variant>
        <vt:lpwstr/>
      </vt:variant>
      <vt:variant>
        <vt:i4>2490436</vt:i4>
      </vt:variant>
      <vt:variant>
        <vt:i4>23688</vt:i4>
      </vt:variant>
      <vt:variant>
        <vt:i4>1029</vt:i4>
      </vt:variant>
      <vt:variant>
        <vt:i4>1</vt:i4>
      </vt:variant>
      <vt:variant>
        <vt:lpwstr>cid:image002.jpg@01CCA456.375F58C0</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Evaluation &amp; Preliminary Determination</dc:title>
  <dc:subject>Draft Permit</dc:subject>
  <dc:creator>Jeff Koerner</dc:creator>
  <cp:lastModifiedBy>Linero_A</cp:lastModifiedBy>
  <cp:revision>21</cp:revision>
  <cp:lastPrinted>2012-10-11T13:47:00Z</cp:lastPrinted>
  <dcterms:created xsi:type="dcterms:W3CDTF">2012-11-03T14:51:00Z</dcterms:created>
  <dcterms:modified xsi:type="dcterms:W3CDTF">2012-11-19T19:22:00Z</dcterms:modified>
</cp:coreProperties>
</file>